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7D" w:rsidRDefault="00F82F7D" w:rsidP="0011140B">
      <w:pPr>
        <w:rPr>
          <w:sz w:val="18"/>
          <w:szCs w:val="18"/>
        </w:rPr>
      </w:pPr>
    </w:p>
    <w:p w:rsidR="003D156B" w:rsidRDefault="003D156B" w:rsidP="0011140B">
      <w:pPr>
        <w:rPr>
          <w:sz w:val="18"/>
          <w:szCs w:val="18"/>
        </w:rPr>
      </w:pPr>
    </w:p>
    <w:p w:rsidR="00331A38" w:rsidRDefault="006E5666" w:rsidP="00224D61">
      <w:pPr>
        <w:pStyle w:val="Sous-titre"/>
        <w:rPr>
          <w:sz w:val="32"/>
          <w:szCs w:val="32"/>
        </w:rPr>
      </w:pPr>
      <w:r>
        <w:rPr>
          <w:sz w:val="32"/>
          <w:szCs w:val="32"/>
        </w:rPr>
        <w:t>FLUX ENTRE ETABLISSEMENTS (ORFEE)</w:t>
      </w:r>
    </w:p>
    <w:p w:rsidR="00224D61" w:rsidRPr="004A4F84" w:rsidRDefault="006E2E0C" w:rsidP="00224D61">
      <w:pPr>
        <w:pStyle w:val="Sous-titre"/>
      </w:pPr>
      <w:r>
        <w:t>Février 2018</w:t>
      </w:r>
    </w:p>
    <w:p w:rsidR="003D156B" w:rsidRDefault="003D156B" w:rsidP="000E28BF">
      <w:pPr>
        <w:tabs>
          <w:tab w:val="left" w:pos="2760"/>
        </w:tabs>
      </w:pPr>
    </w:p>
    <w:p w:rsidR="00F82F7D" w:rsidRDefault="000E28BF" w:rsidP="000E28BF">
      <w:pPr>
        <w:tabs>
          <w:tab w:val="left" w:pos="2760"/>
        </w:tabs>
      </w:pPr>
      <w:r>
        <w:tab/>
      </w:r>
    </w:p>
    <w:p w:rsidR="00B42842" w:rsidRDefault="00B20C34" w:rsidP="00224D61">
      <w:pPr>
        <w:autoSpaceDE w:val="0"/>
        <w:autoSpaceDN w:val="0"/>
        <w:adjustRightInd w:val="0"/>
        <w:spacing w:after="120"/>
        <w:rPr>
          <w:rFonts w:cs="Arial"/>
          <w:b/>
        </w:rPr>
      </w:pPr>
      <w:r>
        <w:rPr>
          <w:rFonts w:cs="Arial"/>
          <w:b/>
        </w:rPr>
        <w:t>Contexte, i</w:t>
      </w:r>
      <w:r w:rsidR="00B42842">
        <w:rPr>
          <w:rFonts w:cs="Arial"/>
          <w:b/>
        </w:rPr>
        <w:t xml:space="preserve">ntérêt et objectifs de l’application </w:t>
      </w:r>
    </w:p>
    <w:p w:rsidR="00D7146F" w:rsidRDefault="006E5666" w:rsidP="00281C1F">
      <w:pPr>
        <w:autoSpaceDE w:val="0"/>
        <w:autoSpaceDN w:val="0"/>
        <w:adjustRightInd w:val="0"/>
        <w:spacing w:after="120"/>
      </w:pPr>
      <w:r>
        <w:t xml:space="preserve">L’Outil de Représentation des Flux Entre Etablissements (ORFEE) </w:t>
      </w:r>
      <w:r w:rsidR="003D67C6">
        <w:t xml:space="preserve">permet de </w:t>
      </w:r>
      <w:r>
        <w:t>mesure</w:t>
      </w:r>
      <w:r w:rsidR="003D67C6">
        <w:t>r et comparer l</w:t>
      </w:r>
      <w:r w:rsidR="00990634">
        <w:rPr>
          <w:rFonts w:cs="Arial"/>
          <w:color w:val="000000"/>
        </w:rPr>
        <w:t xml:space="preserve">es établissements dans leurs territoires en </w:t>
      </w:r>
      <w:r w:rsidR="00281C1F">
        <w:t>décri</w:t>
      </w:r>
      <w:r w:rsidR="00990634">
        <w:t xml:space="preserve">vant </w:t>
      </w:r>
      <w:r w:rsidR="00281C1F">
        <w:t xml:space="preserve">autour de </w:t>
      </w:r>
      <w:r w:rsidR="00155D5A" w:rsidRPr="00281C1F">
        <w:t>83</w:t>
      </w:r>
      <w:r w:rsidR="003D67C6">
        <w:t xml:space="preserve"> Groupes planifications (</w:t>
      </w:r>
      <w:r w:rsidR="00155D5A" w:rsidRPr="00281C1F">
        <w:t>activités médicalement cohérentes</w:t>
      </w:r>
      <w:r w:rsidR="00155D5A">
        <w:t xml:space="preserve"> </w:t>
      </w:r>
      <w:r w:rsidR="003D67C6">
        <w:t xml:space="preserve">- </w:t>
      </w:r>
      <w:r w:rsidR="00281C1F">
        <w:t xml:space="preserve">Pneumologie, Rhumatologie, Diabète, Affection cardio-vasculaires,…) </w:t>
      </w:r>
      <w:r w:rsidR="00D7146F">
        <w:t>:</w:t>
      </w:r>
    </w:p>
    <w:p w:rsidR="006E5666" w:rsidRPr="00281C1F" w:rsidRDefault="006E5666" w:rsidP="00D7146F">
      <w:pPr>
        <w:pStyle w:val="Paragraphedeliste"/>
        <w:numPr>
          <w:ilvl w:val="0"/>
          <w:numId w:val="17"/>
        </w:numPr>
        <w:autoSpaceDE w:val="0"/>
        <w:autoSpaceDN w:val="0"/>
        <w:adjustRightInd w:val="0"/>
        <w:spacing w:after="120"/>
        <w:rPr>
          <w:rFonts w:cs="Arial"/>
        </w:rPr>
      </w:pPr>
      <w:r w:rsidRPr="003D67C6">
        <w:rPr>
          <w:rFonts w:cs="Arial"/>
          <w:b/>
        </w:rPr>
        <w:t>l’activité d’un établissement ou d’un groupe d’établissement</w:t>
      </w:r>
      <w:r w:rsidR="005D4547">
        <w:rPr>
          <w:rFonts w:cs="Arial"/>
          <w:b/>
        </w:rPr>
        <w:t>s</w:t>
      </w:r>
      <w:r w:rsidRPr="003D67C6">
        <w:rPr>
          <w:rFonts w:cs="Arial"/>
          <w:b/>
        </w:rPr>
        <w:t xml:space="preserve"> </w:t>
      </w:r>
      <w:r w:rsidR="0090790A">
        <w:rPr>
          <w:rFonts w:cs="Arial"/>
          <w:b/>
        </w:rPr>
        <w:t>à partir</w:t>
      </w:r>
      <w:r w:rsidR="0090790A" w:rsidRPr="003D67C6">
        <w:rPr>
          <w:rFonts w:cs="Arial"/>
          <w:b/>
        </w:rPr>
        <w:t xml:space="preserve"> </w:t>
      </w:r>
      <w:r w:rsidR="00D7146F" w:rsidRPr="003D67C6">
        <w:rPr>
          <w:rFonts w:cs="Arial"/>
          <w:b/>
        </w:rPr>
        <w:t xml:space="preserve">de </w:t>
      </w:r>
      <w:r w:rsidRPr="003D67C6">
        <w:rPr>
          <w:rFonts w:cs="Arial"/>
          <w:b/>
        </w:rPr>
        <w:t>14 caractéristiques</w:t>
      </w:r>
      <w:r w:rsidR="00281C1F">
        <w:rPr>
          <w:rFonts w:cs="Arial"/>
        </w:rPr>
        <w:t xml:space="preserve"> : l’âge moyen, part </w:t>
      </w:r>
      <w:r w:rsidRPr="00281C1F">
        <w:rPr>
          <w:rFonts w:cs="Arial"/>
        </w:rPr>
        <w:t xml:space="preserve">d’activité ambulatoire, </w:t>
      </w:r>
      <w:r w:rsidR="00281C1F">
        <w:rPr>
          <w:rFonts w:cs="Arial"/>
        </w:rPr>
        <w:t>par des</w:t>
      </w:r>
      <w:r w:rsidRPr="00281C1F">
        <w:rPr>
          <w:rFonts w:cs="Arial"/>
        </w:rPr>
        <w:t xml:space="preserve"> passage</w:t>
      </w:r>
      <w:r w:rsidR="00281C1F">
        <w:rPr>
          <w:rFonts w:cs="Arial"/>
        </w:rPr>
        <w:t>s</w:t>
      </w:r>
      <w:r w:rsidRPr="00281C1F">
        <w:rPr>
          <w:rFonts w:cs="Arial"/>
        </w:rPr>
        <w:t xml:space="preserve"> par les urgences, IPDMS, </w:t>
      </w:r>
      <w:r w:rsidR="00281C1F">
        <w:rPr>
          <w:rFonts w:cs="Arial"/>
        </w:rPr>
        <w:t xml:space="preserve">volume des </w:t>
      </w:r>
      <w:r w:rsidRPr="00281C1F">
        <w:rPr>
          <w:rFonts w:cs="Arial"/>
        </w:rPr>
        <w:t>flux</w:t>
      </w:r>
      <w:r w:rsidR="00281C1F">
        <w:rPr>
          <w:rFonts w:cs="Arial"/>
        </w:rPr>
        <w:t xml:space="preserve"> d’échanges MCO/SSR</w:t>
      </w:r>
      <w:r w:rsidRPr="00281C1F">
        <w:rPr>
          <w:rFonts w:cs="Arial"/>
        </w:rPr>
        <w:t>, …</w:t>
      </w:r>
    </w:p>
    <w:p w:rsidR="00281C1F" w:rsidRPr="00281C1F" w:rsidRDefault="00281C1F" w:rsidP="00602139">
      <w:pPr>
        <w:pStyle w:val="Paragraphedeliste"/>
        <w:numPr>
          <w:ilvl w:val="0"/>
          <w:numId w:val="17"/>
        </w:numPr>
        <w:autoSpaceDE w:val="0"/>
        <w:autoSpaceDN w:val="0"/>
        <w:adjustRightInd w:val="0"/>
        <w:spacing w:after="120" w:line="240" w:lineRule="auto"/>
        <w:rPr>
          <w:rFonts w:cs="Arial"/>
        </w:rPr>
      </w:pPr>
      <w:r w:rsidRPr="00281C1F">
        <w:rPr>
          <w:rFonts w:cs="Arial"/>
        </w:rPr>
        <w:t xml:space="preserve">la </w:t>
      </w:r>
      <w:r w:rsidR="006E5666" w:rsidRPr="003D67C6">
        <w:rPr>
          <w:rFonts w:cs="Arial"/>
          <w:b/>
        </w:rPr>
        <w:t>concentration d’activité</w:t>
      </w:r>
      <w:r w:rsidR="006E5666" w:rsidRPr="00281C1F">
        <w:rPr>
          <w:rFonts w:cs="Arial"/>
        </w:rPr>
        <w:t xml:space="preserve"> et la valorisation associée </w:t>
      </w:r>
      <w:r w:rsidRPr="00281C1F">
        <w:rPr>
          <w:rFonts w:cs="Arial"/>
        </w:rPr>
        <w:t>de</w:t>
      </w:r>
      <w:r w:rsidR="006E5666" w:rsidRPr="00281C1F">
        <w:rPr>
          <w:rFonts w:cs="Arial"/>
        </w:rPr>
        <w:t xml:space="preserve"> chaque GHM</w:t>
      </w:r>
      <w:r>
        <w:rPr>
          <w:rFonts w:cs="Arial"/>
        </w:rPr>
        <w:t xml:space="preserve"> du case-mix</w:t>
      </w:r>
    </w:p>
    <w:p w:rsidR="00281C1F" w:rsidRPr="003D67C6" w:rsidRDefault="00281C1F" w:rsidP="00602139">
      <w:pPr>
        <w:pStyle w:val="Paragraphedeliste"/>
        <w:numPr>
          <w:ilvl w:val="0"/>
          <w:numId w:val="16"/>
        </w:numPr>
        <w:autoSpaceDE w:val="0"/>
        <w:autoSpaceDN w:val="0"/>
        <w:adjustRightInd w:val="0"/>
        <w:spacing w:before="0" w:after="120" w:line="240" w:lineRule="auto"/>
        <w:rPr>
          <w:rFonts w:cs="Arial"/>
          <w:b/>
        </w:rPr>
      </w:pPr>
      <w:r w:rsidRPr="003D67C6">
        <w:rPr>
          <w:rFonts w:cs="Arial"/>
          <w:b/>
        </w:rPr>
        <w:t xml:space="preserve">l’évolution de l’activité et des parts de marché </w:t>
      </w:r>
      <w:r w:rsidR="006E5666" w:rsidRPr="003D67C6">
        <w:rPr>
          <w:rFonts w:cs="Arial"/>
          <w:b/>
        </w:rPr>
        <w:t>d’un établissement</w:t>
      </w:r>
      <w:r w:rsidR="006E5666" w:rsidRPr="00281C1F">
        <w:rPr>
          <w:rFonts w:cs="Arial"/>
        </w:rPr>
        <w:t xml:space="preserve"> </w:t>
      </w:r>
      <w:r w:rsidR="00150BC2">
        <w:rPr>
          <w:rFonts w:cs="Arial"/>
        </w:rPr>
        <w:t>ou d’une sélection d’établissements </w:t>
      </w:r>
      <w:r w:rsidRPr="003D67C6">
        <w:rPr>
          <w:rFonts w:cs="Arial"/>
          <w:b/>
        </w:rPr>
        <w:t xml:space="preserve">en comparaison à </w:t>
      </w:r>
      <w:r w:rsidR="00990634" w:rsidRPr="003D67C6">
        <w:rPr>
          <w:rFonts w:cs="Arial"/>
          <w:b/>
        </w:rPr>
        <w:t xml:space="preserve">l’évolution du </w:t>
      </w:r>
      <w:r w:rsidR="006E5666" w:rsidRPr="003D67C6">
        <w:rPr>
          <w:rFonts w:cs="Arial"/>
          <w:b/>
        </w:rPr>
        <w:t xml:space="preserve">territoire </w:t>
      </w:r>
    </w:p>
    <w:p w:rsidR="006E5666" w:rsidRPr="00281C1F" w:rsidRDefault="006E5666" w:rsidP="00602139">
      <w:pPr>
        <w:pStyle w:val="Paragraphedeliste"/>
        <w:numPr>
          <w:ilvl w:val="0"/>
          <w:numId w:val="16"/>
        </w:numPr>
        <w:autoSpaceDE w:val="0"/>
        <w:autoSpaceDN w:val="0"/>
        <w:adjustRightInd w:val="0"/>
        <w:spacing w:before="0" w:after="120" w:line="240" w:lineRule="auto"/>
        <w:rPr>
          <w:rFonts w:cs="Arial"/>
          <w:b/>
        </w:rPr>
      </w:pPr>
      <w:r w:rsidRPr="003D67C6">
        <w:rPr>
          <w:rFonts w:cs="Arial"/>
          <w:b/>
        </w:rPr>
        <w:t xml:space="preserve">les </w:t>
      </w:r>
      <w:r w:rsidR="00281C1F" w:rsidRPr="003D67C6">
        <w:rPr>
          <w:rFonts w:cs="Arial"/>
          <w:b/>
        </w:rPr>
        <w:t>flux d’</w:t>
      </w:r>
      <w:r w:rsidRPr="003D67C6">
        <w:rPr>
          <w:rFonts w:cs="Arial"/>
          <w:b/>
        </w:rPr>
        <w:t xml:space="preserve">échanges du territoire </w:t>
      </w:r>
      <w:r w:rsidR="00281C1F" w:rsidRPr="003D67C6">
        <w:rPr>
          <w:rFonts w:cs="Arial"/>
          <w:b/>
        </w:rPr>
        <w:t>entre établissements</w:t>
      </w:r>
      <w:r w:rsidR="00281C1F" w:rsidRPr="00281C1F">
        <w:rPr>
          <w:rFonts w:cs="Arial"/>
        </w:rPr>
        <w:t xml:space="preserve"> </w:t>
      </w:r>
      <w:r w:rsidRPr="00281C1F">
        <w:rPr>
          <w:rFonts w:cs="Arial"/>
        </w:rPr>
        <w:t>MCO et SSR</w:t>
      </w:r>
      <w:r w:rsidRPr="00281C1F">
        <w:rPr>
          <w:rFonts w:cs="Arial"/>
          <w:b/>
        </w:rPr>
        <w:t xml:space="preserve"> </w:t>
      </w:r>
    </w:p>
    <w:p w:rsidR="00F23DE4" w:rsidRDefault="003D67C6" w:rsidP="00761861">
      <w:pPr>
        <w:autoSpaceDE w:val="0"/>
        <w:autoSpaceDN w:val="0"/>
        <w:adjustRightInd w:val="0"/>
        <w:rPr>
          <w:rFonts w:cs="Arial"/>
          <w:color w:val="000000"/>
        </w:rPr>
      </w:pPr>
      <w:r>
        <w:rPr>
          <w:rFonts w:cs="Arial"/>
          <w:color w:val="000000"/>
        </w:rPr>
        <w:t>L’application participe à</w:t>
      </w:r>
      <w:r w:rsidR="00761861">
        <w:rPr>
          <w:rFonts w:cs="Arial"/>
          <w:color w:val="000000"/>
        </w:rPr>
        <w:t xml:space="preserve"> outiller les professionnels de santé</w:t>
      </w:r>
      <w:r w:rsidR="00761861" w:rsidRPr="00761861">
        <w:rPr>
          <w:rFonts w:cs="Arial"/>
          <w:color w:val="000000"/>
        </w:rPr>
        <w:t xml:space="preserve"> (médecins, soignants, directeurs...)</w:t>
      </w:r>
      <w:r w:rsidR="00761861">
        <w:rPr>
          <w:rFonts w:cs="Arial"/>
          <w:color w:val="000000"/>
        </w:rPr>
        <w:t>, t</w:t>
      </w:r>
      <w:r w:rsidR="00761861" w:rsidRPr="00761861">
        <w:rPr>
          <w:rFonts w:cs="Arial"/>
          <w:color w:val="000000"/>
        </w:rPr>
        <w:t>utelles et institutionnels (ARS, HAS, Chambres régionales des comptes,IGAS, administrations centrales...)</w:t>
      </w:r>
      <w:r w:rsidR="00761861">
        <w:rPr>
          <w:rFonts w:cs="Arial"/>
          <w:color w:val="000000"/>
        </w:rPr>
        <w:t>, r</w:t>
      </w:r>
      <w:r w:rsidR="00761861" w:rsidRPr="00761861">
        <w:rPr>
          <w:rFonts w:cs="Arial"/>
          <w:color w:val="000000"/>
        </w:rPr>
        <w:t>eprésentants d’usagers, étudiants, chercheurs</w:t>
      </w:r>
      <w:r w:rsidR="00761861">
        <w:rPr>
          <w:rFonts w:cs="Arial"/>
          <w:color w:val="000000"/>
        </w:rPr>
        <w:t xml:space="preserve"> pour améliorer la flui</w:t>
      </w:r>
      <w:r w:rsidR="00307A4F">
        <w:rPr>
          <w:rFonts w:cs="Arial"/>
          <w:color w:val="000000"/>
        </w:rPr>
        <w:t>dification du parcours patients.</w:t>
      </w:r>
    </w:p>
    <w:p w:rsidR="00307A4F" w:rsidRDefault="00307A4F" w:rsidP="00761861">
      <w:pPr>
        <w:autoSpaceDE w:val="0"/>
        <w:autoSpaceDN w:val="0"/>
        <w:adjustRightInd w:val="0"/>
        <w:rPr>
          <w:rFonts w:cs="Arial"/>
          <w:color w:val="000000"/>
        </w:rPr>
      </w:pPr>
    </w:p>
    <w:p w:rsidR="003D156B" w:rsidRPr="004A4F84" w:rsidRDefault="003D156B" w:rsidP="00761861">
      <w:pPr>
        <w:autoSpaceDE w:val="0"/>
        <w:autoSpaceDN w:val="0"/>
        <w:adjustRightInd w:val="0"/>
        <w:rPr>
          <w:rFonts w:cs="Arial"/>
          <w:color w:val="000000"/>
        </w:rPr>
      </w:pPr>
    </w:p>
    <w:p w:rsidR="00224D61" w:rsidRPr="00224D61" w:rsidRDefault="00B42842" w:rsidP="00224D61">
      <w:pPr>
        <w:autoSpaceDE w:val="0"/>
        <w:autoSpaceDN w:val="0"/>
        <w:adjustRightInd w:val="0"/>
        <w:spacing w:after="120"/>
        <w:rPr>
          <w:rFonts w:cs="Arial"/>
          <w:b/>
        </w:rPr>
      </w:pPr>
      <w:r>
        <w:rPr>
          <w:rFonts w:cs="Arial"/>
          <w:b/>
        </w:rPr>
        <w:t>Données mobilisées</w:t>
      </w:r>
      <w:r w:rsidR="00224D61" w:rsidRPr="004A4F84">
        <w:rPr>
          <w:rFonts w:cs="Arial"/>
          <w:b/>
        </w:rPr>
        <w:t>:</w:t>
      </w:r>
    </w:p>
    <w:p w:rsidR="00F23DE4" w:rsidRPr="003D67C6" w:rsidRDefault="00F23DE4" w:rsidP="00F23DE4">
      <w:pPr>
        <w:pStyle w:val="Paragraphedeliste"/>
        <w:numPr>
          <w:ilvl w:val="0"/>
          <w:numId w:val="15"/>
        </w:numPr>
        <w:spacing w:before="0" w:after="200" w:line="276" w:lineRule="auto"/>
        <w:jc w:val="left"/>
        <w:rPr>
          <w:u w:val="single"/>
        </w:rPr>
      </w:pPr>
      <w:r w:rsidRPr="003D67C6">
        <w:rPr>
          <w:u w:val="single"/>
        </w:rPr>
        <w:t>Champ et source des données</w:t>
      </w:r>
      <w:r w:rsidR="003D67C6" w:rsidRPr="003D67C6">
        <w:rPr>
          <w:u w:val="single"/>
        </w:rPr>
        <w:t> :</w:t>
      </w:r>
    </w:p>
    <w:p w:rsidR="0090790A" w:rsidRDefault="003D67C6" w:rsidP="0090790A">
      <w:pPr>
        <w:pStyle w:val="Paragraphedeliste"/>
        <w:spacing w:before="0" w:after="200" w:line="276" w:lineRule="auto"/>
        <w:jc w:val="left"/>
      </w:pPr>
      <w:r>
        <w:t>les données sont issues du PMSI MCO et SSR</w:t>
      </w:r>
    </w:p>
    <w:p w:rsidR="00F23DE4" w:rsidRPr="0090790A" w:rsidRDefault="0090790A" w:rsidP="0090790A">
      <w:pPr>
        <w:pStyle w:val="Paragraphedeliste"/>
        <w:spacing w:before="0" w:after="200" w:line="276" w:lineRule="auto"/>
        <w:jc w:val="left"/>
      </w:pPr>
      <w:r>
        <w:t xml:space="preserve">Types </w:t>
      </w:r>
      <w:r w:rsidR="00307A4F" w:rsidRPr="0090790A">
        <w:t>d’établissements : CHR/U, CH, CLCC, Privé, PSPH/EBNL</w:t>
      </w:r>
    </w:p>
    <w:p w:rsidR="00307A4F" w:rsidRPr="004B1585" w:rsidRDefault="00307A4F" w:rsidP="00F23DE4">
      <w:pPr>
        <w:pStyle w:val="Paragraphedeliste"/>
        <w:ind w:left="1416"/>
        <w:rPr>
          <w:i/>
        </w:rPr>
      </w:pPr>
    </w:p>
    <w:p w:rsidR="0090790A" w:rsidRDefault="00F23DE4" w:rsidP="00AB1F98">
      <w:pPr>
        <w:pStyle w:val="Paragraphedeliste"/>
        <w:numPr>
          <w:ilvl w:val="0"/>
          <w:numId w:val="15"/>
        </w:numPr>
        <w:spacing w:before="0" w:after="200" w:line="276" w:lineRule="auto"/>
        <w:jc w:val="left"/>
      </w:pPr>
      <w:r w:rsidRPr="0090790A">
        <w:rPr>
          <w:u w:val="single"/>
        </w:rPr>
        <w:t>Période couverte</w:t>
      </w:r>
      <w:r w:rsidR="00990634" w:rsidRPr="0090790A">
        <w:rPr>
          <w:u w:val="single"/>
        </w:rPr>
        <w:t> :</w:t>
      </w:r>
      <w:r w:rsidR="00990634">
        <w:t xml:space="preserve"> </w:t>
      </w:r>
      <w:r w:rsidR="0090790A" w:rsidRPr="0090790A">
        <w:rPr>
          <w:rFonts w:cs="Arial"/>
        </w:rPr>
        <w:t>données annuelles depuis 2014</w:t>
      </w:r>
    </w:p>
    <w:p w:rsidR="00F23DE4" w:rsidRDefault="00F23DE4" w:rsidP="003D67C6"/>
    <w:p w:rsidR="003D156B" w:rsidRDefault="003D156B" w:rsidP="003D67C6"/>
    <w:p w:rsidR="00224D61" w:rsidRDefault="00B42842" w:rsidP="00224D61">
      <w:pPr>
        <w:spacing w:after="120"/>
        <w:rPr>
          <w:rFonts w:cs="Arial"/>
          <w:b/>
        </w:rPr>
      </w:pPr>
      <w:r>
        <w:rPr>
          <w:rFonts w:cs="Arial"/>
          <w:b/>
        </w:rPr>
        <w:t>Définitions</w:t>
      </w:r>
    </w:p>
    <w:p w:rsidR="00307A4F" w:rsidRDefault="008E4390" w:rsidP="0054504F">
      <w:pPr>
        <w:pStyle w:val="Paragraphedeliste"/>
        <w:numPr>
          <w:ilvl w:val="0"/>
          <w:numId w:val="18"/>
        </w:numPr>
      </w:pPr>
      <w:r>
        <w:t>Groupe Plan</w:t>
      </w:r>
      <w:r w:rsidR="00307A4F">
        <w:t>ification (GP)</w:t>
      </w:r>
      <w:r w:rsidR="0054504F">
        <w:t> :</w:t>
      </w:r>
      <w:r w:rsidR="00307A4F">
        <w:t xml:space="preserve"> </w:t>
      </w:r>
      <w:r w:rsidR="0054504F" w:rsidRPr="0054504F">
        <w:t>83 groupes, appelés « gro</w:t>
      </w:r>
      <w:r w:rsidR="0054504F">
        <w:t xml:space="preserve">upes type planification » (GP), </w:t>
      </w:r>
      <w:r w:rsidR="0054504F" w:rsidRPr="0054504F">
        <w:t xml:space="preserve">s’inscrivent dans la répartition en M (Médecine), C (Chirurgie), O (Obstétrique), S (séances), K (gestes peu invasifs), N (Néo-natalité). Le regroupement des GHM en Groupe Planification est téléchargeable </w:t>
      </w:r>
      <w:hyperlink r:id="rId8" w:history="1">
        <w:r w:rsidR="0054504F" w:rsidRPr="0054504F">
          <w:rPr>
            <w:rStyle w:val="Lienhypertexte"/>
          </w:rPr>
          <w:t>ici</w:t>
        </w:r>
      </w:hyperlink>
      <w:r w:rsidR="0054504F" w:rsidRPr="0054504F">
        <w:t>.</w:t>
      </w:r>
    </w:p>
    <w:p w:rsidR="000D0ADC" w:rsidRDefault="000D0ADC" w:rsidP="000D0ADC">
      <w:pPr>
        <w:spacing w:after="120"/>
        <w:rPr>
          <w:rFonts w:cs="Arial"/>
          <w:b/>
        </w:rPr>
      </w:pPr>
    </w:p>
    <w:p w:rsidR="003D156B" w:rsidRDefault="003D156B" w:rsidP="000D0ADC">
      <w:pPr>
        <w:spacing w:after="120"/>
        <w:rPr>
          <w:rFonts w:cs="Arial"/>
          <w:b/>
        </w:rPr>
      </w:pPr>
    </w:p>
    <w:p w:rsidR="003D156B" w:rsidRDefault="003D156B" w:rsidP="000D0ADC">
      <w:pPr>
        <w:spacing w:after="120"/>
        <w:rPr>
          <w:rFonts w:cs="Arial"/>
          <w:b/>
        </w:rPr>
      </w:pPr>
    </w:p>
    <w:p w:rsidR="000D0ADC" w:rsidRDefault="000D0ADC" w:rsidP="000D0ADC">
      <w:pPr>
        <w:spacing w:after="120"/>
        <w:rPr>
          <w:rFonts w:cs="Arial"/>
          <w:b/>
        </w:rPr>
      </w:pPr>
      <w:r w:rsidRPr="000D0ADC">
        <w:rPr>
          <w:rFonts w:cs="Arial"/>
          <w:b/>
        </w:rPr>
        <w:t>Précisions sur le mode de calcul des indicateurs</w:t>
      </w:r>
    </w:p>
    <w:p w:rsidR="00025139" w:rsidRDefault="00025139" w:rsidP="00307A4F">
      <w:pPr>
        <w:rPr>
          <w:u w:val="single"/>
        </w:rPr>
      </w:pPr>
    </w:p>
    <w:p w:rsidR="00307A4F" w:rsidRDefault="000D0ADC" w:rsidP="00307A4F">
      <w:pPr>
        <w:rPr>
          <w:u w:val="single"/>
        </w:rPr>
      </w:pPr>
      <w:r>
        <w:rPr>
          <w:u w:val="single"/>
        </w:rPr>
        <w:t>Indicateurs</w:t>
      </w:r>
      <w:r w:rsidR="00846834" w:rsidRPr="00846834">
        <w:rPr>
          <w:u w:val="single"/>
        </w:rPr>
        <w:t xml:space="preserve"> concernant le module « description d’activité »</w:t>
      </w:r>
    </w:p>
    <w:p w:rsidR="008E4390" w:rsidRPr="008E4390" w:rsidRDefault="009541CD" w:rsidP="008E4390">
      <w:pPr>
        <w:pStyle w:val="Paragraphedeliste"/>
        <w:numPr>
          <w:ilvl w:val="0"/>
          <w:numId w:val="18"/>
        </w:numPr>
      </w:pPr>
      <w:r>
        <w:t>Catégories d’établissement : les catégories d’établissements utilisées dans cette application sont le</w:t>
      </w:r>
      <w:r w:rsidR="000816B9">
        <w:t>s</w:t>
      </w:r>
      <w:r>
        <w:t xml:space="preserve"> suivantes :</w:t>
      </w:r>
      <w:r w:rsidR="008E4390" w:rsidRPr="008E4390">
        <w:t xml:space="preserve"> CH</w:t>
      </w:r>
      <w:r>
        <w:t>R/U, CH, CLCC, Privé, PSPH/EBNL</w:t>
      </w:r>
      <w:r w:rsidR="008E4390" w:rsidRPr="008E4390">
        <w:t xml:space="preserve"> </w:t>
      </w:r>
    </w:p>
    <w:p w:rsidR="008E4390" w:rsidRPr="008E4390" w:rsidRDefault="008E4390" w:rsidP="008E4390">
      <w:pPr>
        <w:pStyle w:val="Paragraphedeliste"/>
        <w:numPr>
          <w:ilvl w:val="0"/>
          <w:numId w:val="18"/>
        </w:numPr>
      </w:pPr>
      <w:r w:rsidRPr="008E4390">
        <w:t xml:space="preserve">Nombre de séjours / séances : correspond à la somme du nombre de RSA transmis par l’établissement pour les séjours classés dans une CMD autre que la CM 28 (Séances) ou du nombre de séances déclarées dans les RSA classés dans la CM 28 </w:t>
      </w:r>
    </w:p>
    <w:p w:rsidR="008E4390" w:rsidRPr="008E4390" w:rsidRDefault="008E4390" w:rsidP="008E4390">
      <w:pPr>
        <w:pStyle w:val="Paragraphedeliste"/>
        <w:numPr>
          <w:ilvl w:val="0"/>
          <w:numId w:val="18"/>
        </w:numPr>
      </w:pPr>
      <w:r w:rsidRPr="008E4390">
        <w:t xml:space="preserve">Nombre de jours : correspond à la somme </w:t>
      </w:r>
      <w:r w:rsidR="009541CD">
        <w:t>des</w:t>
      </w:r>
      <w:r w:rsidRPr="008E4390">
        <w:t xml:space="preserve"> durée</w:t>
      </w:r>
      <w:r w:rsidR="000816B9">
        <w:t>s</w:t>
      </w:r>
      <w:r w:rsidRPr="008E4390">
        <w:t xml:space="preserve"> de séjour des RSA transmis par l’établissement pour les séjours classés dans une C</w:t>
      </w:r>
      <w:r w:rsidR="00563C85">
        <w:t>MD autre que la CM 28 (Séances). Ici les séjours ambulatoires et les séances ne sont pas comptabilisées</w:t>
      </w:r>
      <w:r w:rsidR="006E2E0C">
        <w:t xml:space="preserve"> (durée de séjour égales à 0)</w:t>
      </w:r>
      <w:r w:rsidR="00563C85">
        <w:t>.</w:t>
      </w:r>
    </w:p>
    <w:p w:rsidR="00527FB9" w:rsidRDefault="008E4390" w:rsidP="00527FB9">
      <w:pPr>
        <w:pStyle w:val="Paragraphedeliste"/>
        <w:numPr>
          <w:ilvl w:val="0"/>
          <w:numId w:val="18"/>
        </w:numPr>
      </w:pPr>
      <w:r w:rsidRPr="008E4390">
        <w:t>Durée Moyenne de Séjour (DMS) :</w:t>
      </w:r>
      <w:r w:rsidR="009541CD">
        <w:t xml:space="preserve"> c</w:t>
      </w:r>
      <w:r w:rsidRPr="008E4390">
        <w:t>orre</w:t>
      </w:r>
      <w:r w:rsidR="000816B9">
        <w:t>spond au nombre de jours divisé</w:t>
      </w:r>
      <w:r w:rsidRPr="008E4390">
        <w:t xml:space="preserve"> par le nombre de séjours pour la sélection considérée</w:t>
      </w:r>
      <w:r w:rsidR="00563C85">
        <w:t xml:space="preserve"> hors séances (CM 28)</w:t>
      </w:r>
      <w:r w:rsidRPr="008E4390">
        <w:t xml:space="preserve">. </w:t>
      </w:r>
    </w:p>
    <w:p w:rsidR="008E4390" w:rsidRPr="008E4390" w:rsidRDefault="008E4390" w:rsidP="00527FB9">
      <w:pPr>
        <w:pStyle w:val="Paragraphedeliste"/>
        <w:numPr>
          <w:ilvl w:val="0"/>
          <w:numId w:val="18"/>
        </w:numPr>
      </w:pPr>
      <w:r w:rsidRPr="008E4390">
        <w:t xml:space="preserve">Indice de Performance de la Durée Moyenne de Séjour (IPDMS) : </w:t>
      </w:r>
      <w:r w:rsidR="009541CD">
        <w:t>c</w:t>
      </w:r>
      <w:r w:rsidRPr="008E4390">
        <w:t xml:space="preserve">orrespond à la division </w:t>
      </w:r>
      <w:r w:rsidR="00527FB9">
        <w:t xml:space="preserve">du </w:t>
      </w:r>
      <w:r w:rsidR="00527FB9" w:rsidRPr="00527FB9">
        <w:t>nombre de journées de l’établissement par le nombre de journées théoriques</w:t>
      </w:r>
      <w:r w:rsidR="00527FB9">
        <w:t xml:space="preserve"> pour le périmètre considéré</w:t>
      </w:r>
      <w:r w:rsidR="00527FB9" w:rsidRPr="00527FB9">
        <w:t xml:space="preserve">. Le nombre de journée théorique étant calculé en faisant la somme sur l’ensemble des GHM de l’établissement du nombre de séjour par la DMS nationale du GHM. </w:t>
      </w:r>
      <w:r w:rsidR="002B1679">
        <w:t>L’IPDMS permet de redresser l’activité au</w:t>
      </w:r>
      <w:r w:rsidR="00602139">
        <w:t xml:space="preserve"> case-mix</w:t>
      </w:r>
      <w:r w:rsidR="002B1679">
        <w:t>.</w:t>
      </w:r>
      <w:r w:rsidR="00602139">
        <w:t xml:space="preserve"> </w:t>
      </w:r>
      <w:r w:rsidR="002B1679">
        <w:t>Lorsque l’IP-DMS est supérieur à 1, l’établissement a des durées de séjour en moyenne plus longues que la moyenne des établissements en France. Lorsque l’IP-DMS est inférieur  à 1, l’établissement a des durées de séjour en moyenne plus courte que la moyenne des établissements en France.</w:t>
      </w:r>
      <w:r w:rsidR="00527FB9">
        <w:t xml:space="preserve"> En fonction de la sélection, l’IP-DMS est calculé pour l’ensemble de l’établissement ou par GP. Il est également calculé pour les sejours avec transfert SSR ou HAD.</w:t>
      </w:r>
    </w:p>
    <w:p w:rsidR="009541CD" w:rsidRPr="008E4390" w:rsidRDefault="00527FB9" w:rsidP="009541CD">
      <w:pPr>
        <w:pStyle w:val="Paragraphedeliste"/>
        <w:numPr>
          <w:ilvl w:val="0"/>
          <w:numId w:val="18"/>
        </w:numPr>
      </w:pPr>
      <w:r>
        <w:t>Ecart à la moyenne (nuitées)</w:t>
      </w:r>
      <w:r w:rsidR="009541CD" w:rsidRPr="008E4390">
        <w:t xml:space="preserve"> : </w:t>
      </w:r>
      <w:r w:rsidR="009541CD">
        <w:t>correspond au nombre de journées de l’établissement pour la sélection de GHM considérée duquel on déduit le nombre de journées calculées en appliquant la DMS nationale par GHM à l’effectif par GHM de l’établissement.</w:t>
      </w:r>
      <w:r w:rsidR="00602139">
        <w:t xml:space="preserve"> Ainsi, le nombre de nuitées potentielle</w:t>
      </w:r>
      <w:r w:rsidR="002B1679">
        <w:t xml:space="preserve">s correspond à l’écart entre </w:t>
      </w:r>
      <w:r w:rsidR="000E6349">
        <w:t>la production (en nuits)</w:t>
      </w:r>
      <w:r w:rsidR="002B1679">
        <w:t xml:space="preserve"> </w:t>
      </w:r>
      <w:r w:rsidR="00602139">
        <w:t xml:space="preserve">de l’établissement </w:t>
      </w:r>
      <w:r w:rsidR="002B1679">
        <w:t xml:space="preserve">et celle </w:t>
      </w:r>
      <w:r w:rsidR="00602139">
        <w:t>qu’aurait l’établissement si son IPDMS était égale à 1.</w:t>
      </w:r>
    </w:p>
    <w:p w:rsidR="00307A4F" w:rsidRDefault="000D0ADC" w:rsidP="000D0ADC">
      <w:pPr>
        <w:pStyle w:val="Paragraphedeliste"/>
        <w:numPr>
          <w:ilvl w:val="0"/>
          <w:numId w:val="18"/>
        </w:numPr>
      </w:pPr>
      <w:r>
        <w:t>P</w:t>
      </w:r>
      <w:r w:rsidR="00307A4F">
        <w:t>art des entrées par les urgences (</w:t>
      </w:r>
      <w:r w:rsidR="00005269">
        <w:t xml:space="preserve">en </w:t>
      </w:r>
      <w:r w:rsidR="00307A4F">
        <w:t>%)</w:t>
      </w:r>
      <w:r w:rsidR="009262C5">
        <w:t xml:space="preserve"> : déterminé par un mode d’entrée/provenance égal </w:t>
      </w:r>
      <w:r w:rsidR="00A2614E">
        <w:t xml:space="preserve">à </w:t>
      </w:r>
      <w:r w:rsidR="009262C5">
        <w:t>« 85 » ou une p</w:t>
      </w:r>
      <w:r w:rsidR="00A2614E">
        <w:t>ris</w:t>
      </w:r>
      <w:r w:rsidR="009262C5">
        <w:t>e en charge initiale en UHCD.</w:t>
      </w:r>
    </w:p>
    <w:p w:rsidR="00307A4F" w:rsidRDefault="000D0ADC" w:rsidP="000D0ADC">
      <w:pPr>
        <w:pStyle w:val="Paragraphedeliste"/>
        <w:numPr>
          <w:ilvl w:val="0"/>
          <w:numId w:val="18"/>
        </w:numPr>
      </w:pPr>
      <w:r>
        <w:t>P</w:t>
      </w:r>
      <w:r w:rsidR="00A2614E">
        <w:t xml:space="preserve">ar des séjours Monorum : </w:t>
      </w:r>
      <w:r w:rsidR="00307A4F">
        <w:t>%  des séjours réalis</w:t>
      </w:r>
      <w:r w:rsidR="00A2614E">
        <w:t>é</w:t>
      </w:r>
      <w:r w:rsidR="00005269">
        <w:t>s</w:t>
      </w:r>
      <w:r w:rsidR="00A2614E">
        <w:t xml:space="preserve"> dans une seule unité médicale</w:t>
      </w:r>
      <w:r w:rsidR="00307A4F">
        <w:t xml:space="preserve"> </w:t>
      </w:r>
    </w:p>
    <w:p w:rsidR="00307A4F" w:rsidRDefault="00307A4F" w:rsidP="000D0ADC">
      <w:pPr>
        <w:pStyle w:val="Paragraphedeliste"/>
        <w:numPr>
          <w:ilvl w:val="0"/>
          <w:numId w:val="18"/>
        </w:numPr>
      </w:pPr>
      <w:r>
        <w:t xml:space="preserve">Part de l’activité ambulatoire </w:t>
      </w:r>
      <w:r w:rsidR="003D67C6">
        <w:t xml:space="preserve"> (en %)</w:t>
      </w:r>
      <w:r w:rsidR="009262C5">
        <w:t> : déterminé</w:t>
      </w:r>
      <w:r w:rsidR="00005269">
        <w:t>e</w:t>
      </w:r>
      <w:r w:rsidR="009262C5">
        <w:t xml:space="preserve"> par une durée de séjour à 0 jour.</w:t>
      </w:r>
    </w:p>
    <w:p w:rsidR="00307A4F" w:rsidRDefault="00307A4F" w:rsidP="000D0ADC">
      <w:pPr>
        <w:pStyle w:val="Paragraphedeliste"/>
        <w:numPr>
          <w:ilvl w:val="0"/>
          <w:numId w:val="18"/>
        </w:numPr>
      </w:pPr>
      <w:r>
        <w:t>Coefficient de lourdeur</w:t>
      </w:r>
      <w:r w:rsidR="00005269">
        <w:t xml:space="preserve"> (en %) : </w:t>
      </w:r>
      <w:r>
        <w:t>part des séjours en sévérité 3 et 4</w:t>
      </w:r>
    </w:p>
    <w:p w:rsidR="003C7A7E" w:rsidRDefault="003C7A7E" w:rsidP="000D0ADC">
      <w:pPr>
        <w:pStyle w:val="Paragraphedeliste"/>
        <w:numPr>
          <w:ilvl w:val="0"/>
          <w:numId w:val="18"/>
        </w:numPr>
      </w:pPr>
      <w:r>
        <w:t>Transfert MCO : nombre de séjours chainés et transférés dans un autre établissement MCO, le jour de la sortie (délai de ré-hospitalisation = 0)</w:t>
      </w:r>
    </w:p>
    <w:p w:rsidR="003C7A7E" w:rsidRDefault="003C7A7E" w:rsidP="003C7A7E">
      <w:pPr>
        <w:pStyle w:val="Paragraphedeliste"/>
        <w:numPr>
          <w:ilvl w:val="0"/>
          <w:numId w:val="18"/>
        </w:numPr>
      </w:pPr>
      <w:r>
        <w:t>Transfert SSR : nombre de séjours chainés et transférés dans un établissement SSR, 7 jours et moins après sortie du MCO</w:t>
      </w:r>
    </w:p>
    <w:p w:rsidR="003C7A7E" w:rsidRDefault="003C7A7E" w:rsidP="003C7A7E">
      <w:pPr>
        <w:pStyle w:val="Paragraphedeliste"/>
        <w:numPr>
          <w:ilvl w:val="0"/>
          <w:numId w:val="18"/>
        </w:numPr>
      </w:pPr>
      <w:r>
        <w:t>Transfert HAD : nombre de séjours chainés et transférés dans un établissement d’Hospitalisation à Domicile (HAD) 2 jours et moins après sortie du MCO</w:t>
      </w:r>
    </w:p>
    <w:p w:rsidR="003C7A7E" w:rsidRDefault="003C7A7E" w:rsidP="003C7A7E">
      <w:pPr>
        <w:pStyle w:val="Paragraphedeliste"/>
      </w:pPr>
    </w:p>
    <w:p w:rsidR="00025139" w:rsidRDefault="00025139">
      <w:pPr>
        <w:spacing w:before="0" w:line="240" w:lineRule="auto"/>
        <w:jc w:val="left"/>
      </w:pPr>
      <w:r>
        <w:br w:type="page"/>
      </w:r>
    </w:p>
    <w:p w:rsidR="00846834" w:rsidRDefault="00846834" w:rsidP="000D0ADC">
      <w:pPr>
        <w:pStyle w:val="Paragraphedeliste"/>
      </w:pPr>
    </w:p>
    <w:p w:rsidR="00B42842" w:rsidRDefault="000D0ADC" w:rsidP="00846834">
      <w:pPr>
        <w:rPr>
          <w:u w:val="single"/>
        </w:rPr>
      </w:pPr>
      <w:r>
        <w:rPr>
          <w:u w:val="single"/>
        </w:rPr>
        <w:t>Indicateurs</w:t>
      </w:r>
      <w:r w:rsidRPr="00846834">
        <w:rPr>
          <w:u w:val="single"/>
        </w:rPr>
        <w:t xml:space="preserve"> </w:t>
      </w:r>
      <w:r w:rsidR="00846834" w:rsidRPr="00846834">
        <w:rPr>
          <w:u w:val="single"/>
        </w:rPr>
        <w:t>concernant le module « Concentration d’activité et valorisation »</w:t>
      </w:r>
    </w:p>
    <w:p w:rsidR="00AE71C3" w:rsidRDefault="00AE71C3" w:rsidP="000D0ADC">
      <w:pPr>
        <w:pStyle w:val="Paragraphedeliste"/>
        <w:numPr>
          <w:ilvl w:val="0"/>
          <w:numId w:val="18"/>
        </w:numPr>
      </w:pPr>
      <w:r>
        <w:t xml:space="preserve">3 </w:t>
      </w:r>
      <w:r w:rsidR="00846834">
        <w:t>Indice</w:t>
      </w:r>
      <w:r>
        <w:t>s</w:t>
      </w:r>
      <w:r w:rsidR="00846834">
        <w:t xml:space="preserve"> de concentration</w:t>
      </w:r>
      <w:r w:rsidR="00150BC2">
        <w:t xml:space="preserve"> : </w:t>
      </w:r>
      <w:r w:rsidR="00846834">
        <w:t xml:space="preserve">calcul </w:t>
      </w:r>
      <w:r>
        <w:t xml:space="preserve">de </w:t>
      </w:r>
      <w:r w:rsidR="00846834">
        <w:t>la part des 10 premiers GHM</w:t>
      </w:r>
      <w:r>
        <w:t xml:space="preserve"> en volume de séjours, journées et valorisation</w:t>
      </w:r>
    </w:p>
    <w:p w:rsidR="00846834" w:rsidRDefault="00AE71C3" w:rsidP="00AE71C3">
      <w:pPr>
        <w:pStyle w:val="Paragraphedeliste"/>
        <w:numPr>
          <w:ilvl w:val="0"/>
          <w:numId w:val="18"/>
        </w:numPr>
      </w:pPr>
      <w:r>
        <w:t>Case-mix de(s) établissement(s) sélectionné(s) : nombre de séjours, de journées</w:t>
      </w:r>
      <w:r w:rsidR="00005269">
        <w:t xml:space="preserve"> (en effectif)</w:t>
      </w:r>
      <w:r>
        <w:t>, valorisation (</w:t>
      </w:r>
      <w:r w:rsidR="00005269">
        <w:t xml:space="preserve">en €) </w:t>
      </w:r>
      <w:r>
        <w:t>et part des séjours monorum de l’ensemble des séjours/séances du GHM (</w:t>
      </w:r>
      <w:r w:rsidR="00005269">
        <w:t xml:space="preserve">en </w:t>
      </w:r>
      <w:r>
        <w:t>%)</w:t>
      </w:r>
    </w:p>
    <w:p w:rsidR="00846834" w:rsidRPr="006E2E0C" w:rsidRDefault="00005269" w:rsidP="00602139">
      <w:pPr>
        <w:pStyle w:val="Paragraphedeliste"/>
        <w:numPr>
          <w:ilvl w:val="0"/>
          <w:numId w:val="18"/>
        </w:numPr>
        <w:rPr>
          <w:u w:val="single"/>
        </w:rPr>
      </w:pPr>
      <w:r>
        <w:t>Valorisation en € de l’ensemble des séjours/séances du GHM : il s’agit de la valorisation totale des séjours y/c suppléments, molécules onéreuses et DMI</w:t>
      </w:r>
      <w:r w:rsidR="00FF73D7">
        <w:t xml:space="preserve"> avant application du taux de remboursement (montant base de remboursement assurance maladie)</w:t>
      </w:r>
      <w:r>
        <w:t>.</w:t>
      </w:r>
      <w:r w:rsidR="00FF73D7">
        <w:t xml:space="preserve"> </w:t>
      </w:r>
    </w:p>
    <w:p w:rsidR="006E2E0C" w:rsidRPr="00FF73D7" w:rsidRDefault="006E2E0C" w:rsidP="00602139">
      <w:pPr>
        <w:pStyle w:val="Paragraphedeliste"/>
        <w:numPr>
          <w:ilvl w:val="0"/>
          <w:numId w:val="18"/>
        </w:numPr>
        <w:rPr>
          <w:u w:val="single"/>
        </w:rPr>
      </w:pPr>
      <w:r>
        <w:t xml:space="preserve">Le % de transferts HAD et SSR de(s) établissement(s) sélectionné(s), ainsi que les % de transferts observés sur la base nationale </w:t>
      </w:r>
      <w:r w:rsidR="00A449CD">
        <w:t xml:space="preserve">calculé </w:t>
      </w:r>
      <w:r>
        <w:t>pour chaque GHM suivant les mêmes règles de délai que dans le module  « Description d’activité ».</w:t>
      </w:r>
    </w:p>
    <w:p w:rsidR="00846834" w:rsidRPr="00846834" w:rsidRDefault="000D0ADC" w:rsidP="00846834">
      <w:pPr>
        <w:rPr>
          <w:u w:val="single"/>
        </w:rPr>
      </w:pPr>
      <w:r>
        <w:rPr>
          <w:u w:val="single"/>
        </w:rPr>
        <w:t>Indicateurs</w:t>
      </w:r>
      <w:r w:rsidRPr="00846834">
        <w:rPr>
          <w:u w:val="single"/>
        </w:rPr>
        <w:t xml:space="preserve"> </w:t>
      </w:r>
      <w:r w:rsidR="00846834" w:rsidRPr="00846834">
        <w:rPr>
          <w:u w:val="single"/>
        </w:rPr>
        <w:t>concernant le module « </w:t>
      </w:r>
      <w:r w:rsidR="00846834">
        <w:rPr>
          <w:u w:val="single"/>
        </w:rPr>
        <w:t>P</w:t>
      </w:r>
      <w:r w:rsidR="00846834" w:rsidRPr="00846834">
        <w:rPr>
          <w:u w:val="single"/>
        </w:rPr>
        <w:t>ositionnement concurrentiel »</w:t>
      </w:r>
    </w:p>
    <w:p w:rsidR="009A351D" w:rsidRDefault="009A351D" w:rsidP="009A351D">
      <w:pPr>
        <w:pStyle w:val="Paragraphedeliste"/>
        <w:numPr>
          <w:ilvl w:val="0"/>
          <w:numId w:val="18"/>
        </w:numPr>
      </w:pPr>
      <w:r>
        <w:t>Evolution comparée par GP</w:t>
      </w:r>
      <w:r w:rsidR="00A2614E">
        <w:t xml:space="preserve"> calculée entre les années N-2 et N</w:t>
      </w:r>
    </w:p>
    <w:p w:rsidR="00215F4C" w:rsidRDefault="009A351D" w:rsidP="00215F4C">
      <w:pPr>
        <w:pStyle w:val="Paragraphedeliste"/>
        <w:numPr>
          <w:ilvl w:val="0"/>
          <w:numId w:val="18"/>
        </w:numPr>
      </w:pPr>
      <w:r>
        <w:t>Evolution des effectifs pour l’établissement et l’ensemble</w:t>
      </w:r>
      <w:r w:rsidR="009262C5">
        <w:t xml:space="preserve"> (y/c lui-même)</w:t>
      </w:r>
      <w:r>
        <w:t xml:space="preserve"> des établissements présents sur le </w:t>
      </w:r>
      <w:r w:rsidR="00A2614E">
        <w:t>rayon</w:t>
      </w:r>
      <w:r>
        <w:t xml:space="preserve"> d’analyse</w:t>
      </w:r>
      <w:r w:rsidR="00150BC2">
        <w:t>, calculée entre les années N-2 et N</w:t>
      </w:r>
    </w:p>
    <w:p w:rsidR="009A351D" w:rsidRDefault="009A351D" w:rsidP="00215F4C">
      <w:pPr>
        <w:pStyle w:val="Paragraphedeliste"/>
        <w:numPr>
          <w:ilvl w:val="0"/>
          <w:numId w:val="18"/>
        </w:numPr>
      </w:pPr>
      <w:r>
        <w:t>Evolution de l’activité de l’établissement</w:t>
      </w:r>
      <w:r w:rsidR="00A2614E">
        <w:t> calculée entre les années N-2 et N</w:t>
      </w:r>
    </w:p>
    <w:p w:rsidR="00215F4C" w:rsidRDefault="00215F4C" w:rsidP="00215F4C">
      <w:pPr>
        <w:pStyle w:val="Paragraphedeliste"/>
        <w:numPr>
          <w:ilvl w:val="0"/>
          <w:numId w:val="18"/>
        </w:numPr>
      </w:pPr>
      <w:r>
        <w:t>Evolution des parts de marchés calculée entre les années N-2 et N par GP</w:t>
      </w:r>
    </w:p>
    <w:p w:rsidR="00FF73D7" w:rsidRDefault="00FF73D7" w:rsidP="00602139">
      <w:pPr>
        <w:pStyle w:val="Paragraphedeliste"/>
      </w:pPr>
    </w:p>
    <w:p w:rsidR="00452A82" w:rsidRDefault="00452A82">
      <w:pPr>
        <w:spacing w:before="0" w:line="240" w:lineRule="auto"/>
        <w:jc w:val="left"/>
        <w:rPr>
          <w:u w:val="single"/>
        </w:rPr>
      </w:pPr>
    </w:p>
    <w:p w:rsidR="009A351D" w:rsidRDefault="000D0ADC">
      <w:pPr>
        <w:spacing w:before="0" w:line="240" w:lineRule="auto"/>
        <w:jc w:val="left"/>
        <w:rPr>
          <w:u w:val="single"/>
        </w:rPr>
      </w:pPr>
      <w:r>
        <w:rPr>
          <w:u w:val="single"/>
        </w:rPr>
        <w:t>Indicateurs</w:t>
      </w:r>
      <w:r w:rsidRPr="00846834">
        <w:rPr>
          <w:u w:val="single"/>
        </w:rPr>
        <w:t xml:space="preserve"> </w:t>
      </w:r>
      <w:r w:rsidR="009A351D" w:rsidRPr="009A351D">
        <w:rPr>
          <w:u w:val="single"/>
        </w:rPr>
        <w:t>concernant le module « Flux d</w:t>
      </w:r>
      <w:r w:rsidR="006E2E0C">
        <w:rPr>
          <w:u w:val="single"/>
        </w:rPr>
        <w:t>e patients</w:t>
      </w:r>
      <w:r w:rsidR="009A351D" w:rsidRPr="009A351D">
        <w:rPr>
          <w:u w:val="single"/>
        </w:rPr>
        <w:t xml:space="preserve"> entre établissements »</w:t>
      </w:r>
    </w:p>
    <w:p w:rsidR="005D4547" w:rsidRDefault="005D4547" w:rsidP="005D4547">
      <w:pPr>
        <w:pStyle w:val="Paragraphedeliste"/>
        <w:numPr>
          <w:ilvl w:val="0"/>
          <w:numId w:val="18"/>
        </w:numPr>
      </w:pPr>
      <w:r>
        <w:t xml:space="preserve">Une analyse des échanges (en nombre de séjours) est proposée entre le(s) établissement(s) MCO sélectionné(s) et les établissements partenaires pour les </w:t>
      </w:r>
      <w:r w:rsidR="005C3644">
        <w:t>3</w:t>
      </w:r>
      <w:r>
        <w:t xml:space="preserve"> champs d’activité MCO</w:t>
      </w:r>
      <w:r w:rsidR="005C3644">
        <w:t>,</w:t>
      </w:r>
      <w:r>
        <w:t xml:space="preserve"> SSR </w:t>
      </w:r>
      <w:r w:rsidR="005C3644">
        <w:t xml:space="preserve">et HAD </w:t>
      </w:r>
      <w:r>
        <w:t>:</w:t>
      </w:r>
    </w:p>
    <w:p w:rsidR="005C3644" w:rsidRDefault="005D4547" w:rsidP="00AB1F98">
      <w:pPr>
        <w:pStyle w:val="Paragraphedeliste"/>
        <w:numPr>
          <w:ilvl w:val="1"/>
          <w:numId w:val="18"/>
        </w:numPr>
      </w:pPr>
      <w:r>
        <w:t>Sur le champ MCO sont présentés pour le(s) établissement(s) sélectionné(s)</w:t>
      </w:r>
      <w:r w:rsidR="005C3644">
        <w:t> :</w:t>
      </w:r>
    </w:p>
    <w:p w:rsidR="005C3644" w:rsidRDefault="005D4547" w:rsidP="005C3644">
      <w:pPr>
        <w:pStyle w:val="Paragraphedeliste"/>
        <w:numPr>
          <w:ilvl w:val="2"/>
          <w:numId w:val="18"/>
        </w:numPr>
      </w:pPr>
      <w:r>
        <w:t xml:space="preserve">les </w:t>
      </w:r>
      <w:r w:rsidR="005C3644">
        <w:t>entrées par transfert depuis les établissements partenaires MCO</w:t>
      </w:r>
    </w:p>
    <w:p w:rsidR="005D4547" w:rsidRDefault="005D4547" w:rsidP="005C3644">
      <w:pPr>
        <w:pStyle w:val="Paragraphedeliste"/>
        <w:numPr>
          <w:ilvl w:val="2"/>
          <w:numId w:val="18"/>
        </w:numPr>
      </w:pPr>
      <w:r>
        <w:t xml:space="preserve">les </w:t>
      </w:r>
      <w:r w:rsidR="005C3644">
        <w:t xml:space="preserve">sorties par transfert </w:t>
      </w:r>
      <w:r>
        <w:t>vers les établissements partenaires MCO.</w:t>
      </w:r>
    </w:p>
    <w:p w:rsidR="005D4547" w:rsidRDefault="005D4547" w:rsidP="005C3644">
      <w:pPr>
        <w:pStyle w:val="Paragraphedeliste"/>
        <w:numPr>
          <w:ilvl w:val="1"/>
          <w:numId w:val="18"/>
        </w:numPr>
      </w:pPr>
      <w:r>
        <w:t>Sur le</w:t>
      </w:r>
      <w:r w:rsidR="005C3644">
        <w:t>s</w:t>
      </w:r>
      <w:r>
        <w:t xml:space="preserve"> champ</w:t>
      </w:r>
      <w:r w:rsidR="005C3644">
        <w:t>s</w:t>
      </w:r>
      <w:r>
        <w:t xml:space="preserve"> SSR </w:t>
      </w:r>
      <w:r w:rsidR="005C3644">
        <w:t xml:space="preserve">et HAD, </w:t>
      </w:r>
      <w:r>
        <w:t>seuls sont présentés</w:t>
      </w:r>
      <w:r w:rsidR="005C3644">
        <w:t> </w:t>
      </w:r>
      <w:r>
        <w:t xml:space="preserve">les </w:t>
      </w:r>
      <w:r w:rsidR="005C3644">
        <w:t>sorties par tranfert</w:t>
      </w:r>
      <w:r>
        <w:t xml:space="preserve"> du ou de(s) établissement(s) sélectionné(s) vers les établissements partenaires SSR</w:t>
      </w:r>
      <w:r w:rsidR="005C3644">
        <w:t xml:space="preserve"> ou HAD</w:t>
      </w:r>
      <w:r>
        <w:t>.</w:t>
      </w:r>
    </w:p>
    <w:p w:rsidR="005D4547" w:rsidRDefault="005D4547" w:rsidP="00AB1F98">
      <w:pPr>
        <w:pStyle w:val="Paragraphedeliste"/>
      </w:pPr>
    </w:p>
    <w:p w:rsidR="009A351D" w:rsidRDefault="00A95476" w:rsidP="009A351D">
      <w:pPr>
        <w:pStyle w:val="Paragraphedeliste"/>
        <w:spacing w:before="0" w:line="240" w:lineRule="auto"/>
        <w:jc w:val="left"/>
        <w:rPr>
          <w:u w:val="single"/>
        </w:rPr>
      </w:pPr>
      <w:r w:rsidRPr="00A95476">
        <w:t>Dans les trois cas, les tra</w:t>
      </w:r>
      <w:bookmarkStart w:id="0" w:name="_GoBack"/>
      <w:bookmarkEnd w:id="0"/>
      <w:r w:rsidRPr="00A95476">
        <w:t xml:space="preserve">nsferts se basent sur le délai de réhospitalisation des patients (calculé à partir du chaînage des patients) et non pas sur les modes d’entrée et/ou </w:t>
      </w:r>
      <w:r>
        <w:t xml:space="preserve">de </w:t>
      </w:r>
      <w:r w:rsidRPr="00A95476">
        <w:t xml:space="preserve">sortie présents dans les RSA. Dans le cas du MCO, le délai de réhospitalisation est égal à 0 jours. Dans le cas du SSR, le délai de rehospitalisation est inférieur </w:t>
      </w:r>
      <w:r w:rsidR="003C7A7E">
        <w:t xml:space="preserve">ou égal </w:t>
      </w:r>
      <w:r w:rsidRPr="00A95476">
        <w:t>à 7jours.</w:t>
      </w:r>
      <w:r w:rsidR="003C7A7E" w:rsidRPr="003C7A7E">
        <w:t xml:space="preserve"> </w:t>
      </w:r>
      <w:r w:rsidR="003C7A7E" w:rsidRPr="00A95476">
        <w:t>Dans le cas du</w:t>
      </w:r>
      <w:r w:rsidR="00FE1279">
        <w:t xml:space="preserve"> </w:t>
      </w:r>
      <w:r w:rsidR="003C7A7E">
        <w:t xml:space="preserve">HAD </w:t>
      </w:r>
      <w:r w:rsidR="003C7A7E" w:rsidRPr="00A95476">
        <w:t>, le délai de re</w:t>
      </w:r>
      <w:r w:rsidR="003C7A7E">
        <w:t xml:space="preserve">hospitalisation est inférieur ou égal à 2 </w:t>
      </w:r>
      <w:r w:rsidR="003C7A7E" w:rsidRPr="00A95476">
        <w:t>jours.</w:t>
      </w:r>
    </w:p>
    <w:p w:rsidR="003D156B" w:rsidRPr="009A351D" w:rsidRDefault="003D156B" w:rsidP="009A351D">
      <w:pPr>
        <w:pStyle w:val="Paragraphedeliste"/>
        <w:spacing w:before="0" w:line="240" w:lineRule="auto"/>
        <w:jc w:val="left"/>
        <w:rPr>
          <w:u w:val="single"/>
        </w:rPr>
      </w:pPr>
    </w:p>
    <w:p w:rsidR="003D156B" w:rsidRDefault="003D156B" w:rsidP="003D67C6">
      <w:pPr>
        <w:spacing w:before="0" w:line="240" w:lineRule="auto"/>
        <w:jc w:val="left"/>
        <w:rPr>
          <w:rFonts w:cs="Arial"/>
          <w:b/>
          <w:color w:val="000000"/>
        </w:rPr>
      </w:pPr>
    </w:p>
    <w:p w:rsidR="003D156B" w:rsidRDefault="003D156B" w:rsidP="003D67C6">
      <w:pPr>
        <w:spacing w:before="0" w:line="240" w:lineRule="auto"/>
        <w:jc w:val="left"/>
        <w:rPr>
          <w:rFonts w:cs="Arial"/>
          <w:b/>
          <w:color w:val="000000"/>
        </w:rPr>
      </w:pPr>
    </w:p>
    <w:p w:rsidR="00025139" w:rsidRDefault="00025139">
      <w:pPr>
        <w:spacing w:before="0" w:line="240" w:lineRule="auto"/>
        <w:jc w:val="left"/>
        <w:rPr>
          <w:rFonts w:cs="Arial"/>
          <w:b/>
          <w:color w:val="000000"/>
        </w:rPr>
      </w:pPr>
      <w:r>
        <w:rPr>
          <w:rFonts w:cs="Arial"/>
          <w:b/>
          <w:color w:val="000000"/>
        </w:rPr>
        <w:br w:type="page"/>
      </w:r>
    </w:p>
    <w:p w:rsidR="003D156B" w:rsidRDefault="003D156B" w:rsidP="003D67C6">
      <w:pPr>
        <w:spacing w:before="0" w:line="240" w:lineRule="auto"/>
        <w:jc w:val="left"/>
        <w:rPr>
          <w:rFonts w:cs="Arial"/>
          <w:b/>
          <w:color w:val="000000"/>
        </w:rPr>
      </w:pPr>
    </w:p>
    <w:p w:rsidR="00B20C34" w:rsidRPr="00224D61" w:rsidRDefault="00B20C34" w:rsidP="003D67C6">
      <w:pPr>
        <w:spacing w:before="0" w:line="240" w:lineRule="auto"/>
        <w:jc w:val="left"/>
        <w:rPr>
          <w:rFonts w:cs="Arial"/>
          <w:b/>
          <w:color w:val="000000"/>
        </w:rPr>
      </w:pPr>
      <w:r>
        <w:rPr>
          <w:rFonts w:cs="Arial"/>
          <w:b/>
          <w:color w:val="000000"/>
        </w:rPr>
        <w:t xml:space="preserve">Modalités de requête, tableaux disponibles dans </w:t>
      </w:r>
      <w:r w:rsidR="00B84352">
        <w:rPr>
          <w:rFonts w:cs="Arial"/>
          <w:b/>
          <w:color w:val="000000"/>
        </w:rPr>
        <w:t>ScanSanté</w:t>
      </w:r>
    </w:p>
    <w:p w:rsidR="00C07ACB" w:rsidRDefault="003D67C6" w:rsidP="00331A38">
      <w:pPr>
        <w:autoSpaceDE w:val="0"/>
        <w:autoSpaceDN w:val="0"/>
        <w:adjustRightInd w:val="0"/>
        <w:rPr>
          <w:rFonts w:cs="Arial"/>
          <w:i/>
        </w:rPr>
      </w:pPr>
      <w:r w:rsidRPr="003D67C6">
        <w:rPr>
          <w:rFonts w:cs="Arial"/>
          <w:i/>
        </w:rPr>
        <w:t>un guide d’utilisation est disponible en ligne</w:t>
      </w:r>
      <w:r>
        <w:rPr>
          <w:rFonts w:cs="Arial"/>
          <w:i/>
        </w:rPr>
        <w:t xml:space="preserve"> </w:t>
      </w:r>
      <w:hyperlink r:id="rId9" w:history="1">
        <w:r w:rsidRPr="005009CD">
          <w:rPr>
            <w:rStyle w:val="Lienhypertexte"/>
            <w:rFonts w:cs="Arial"/>
            <w:i/>
          </w:rPr>
          <w:t>www.scansante.fr/application/flux-entre-etablissements-orfee</w:t>
        </w:r>
      </w:hyperlink>
      <w:r>
        <w:rPr>
          <w:rFonts w:cs="Arial"/>
          <w:i/>
        </w:rPr>
        <w:t xml:space="preserve"> </w:t>
      </w:r>
    </w:p>
    <w:p w:rsidR="002578ED" w:rsidRPr="003D67C6" w:rsidRDefault="002578ED" w:rsidP="00331A38">
      <w:pPr>
        <w:autoSpaceDE w:val="0"/>
        <w:autoSpaceDN w:val="0"/>
        <w:adjustRightInd w:val="0"/>
        <w:rPr>
          <w:rFonts w:cs="Arial"/>
          <w:i/>
        </w:rPr>
      </w:pPr>
    </w:p>
    <w:p w:rsidR="00C07ACB" w:rsidRDefault="003D67C6" w:rsidP="00331A38">
      <w:pPr>
        <w:autoSpaceDE w:val="0"/>
        <w:autoSpaceDN w:val="0"/>
        <w:adjustRightInd w:val="0"/>
        <w:rPr>
          <w:rFonts w:cs="Arial"/>
          <w:b/>
          <w:i/>
        </w:rPr>
      </w:pPr>
      <w:r>
        <w:drawing>
          <wp:inline distT="0" distB="0" distL="0" distR="0" wp14:anchorId="2DBD1291" wp14:editId="6721EB68">
            <wp:extent cx="5203032" cy="3257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923" t="8824" r="52041" b="6471"/>
                    <a:stretch/>
                  </pic:blipFill>
                  <pic:spPr bwMode="auto">
                    <a:xfrm>
                      <a:off x="0" y="0"/>
                      <a:ext cx="5205003" cy="3258784"/>
                    </a:xfrm>
                    <a:prstGeom prst="rect">
                      <a:avLst/>
                    </a:prstGeom>
                    <a:ln>
                      <a:noFill/>
                    </a:ln>
                    <a:extLst>
                      <a:ext uri="{53640926-AAD7-44D8-BBD7-CCE9431645EC}">
                        <a14:shadowObscured xmlns:a14="http://schemas.microsoft.com/office/drawing/2010/main"/>
                      </a:ext>
                    </a:extLst>
                  </pic:spPr>
                </pic:pic>
              </a:graphicData>
            </a:graphic>
          </wp:inline>
        </w:drawing>
      </w:r>
    </w:p>
    <w:sectPr w:rsidR="00C07ACB" w:rsidSect="005D2045">
      <w:headerReference w:type="default" r:id="rId11"/>
      <w:footerReference w:type="default" r:id="rId12"/>
      <w:pgSz w:w="11906" w:h="16838"/>
      <w:pgMar w:top="1418" w:right="1418" w:bottom="1134" w:left="1418" w:header="567"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97" w:rsidRDefault="005C0497" w:rsidP="0011140B">
      <w:r>
        <w:separator/>
      </w:r>
    </w:p>
  </w:endnote>
  <w:endnote w:type="continuationSeparator" w:id="0">
    <w:p w:rsidR="005C0497" w:rsidRDefault="005C0497" w:rsidP="0011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698321"/>
      <w:docPartObj>
        <w:docPartGallery w:val="Page Numbers (Bottom of Page)"/>
        <w:docPartUnique/>
      </w:docPartObj>
    </w:sdtPr>
    <w:sdtEndPr/>
    <w:sdtContent>
      <w:sdt>
        <w:sdtPr>
          <w:id w:val="1122033580"/>
          <w:docPartObj>
            <w:docPartGallery w:val="Page Numbers (Top of Page)"/>
            <w:docPartUnique/>
          </w:docPartObj>
        </w:sdtPr>
        <w:sdtEndPr/>
        <w:sdtContent>
          <w:p w:rsidR="00602139" w:rsidRDefault="00602139" w:rsidP="005D2045">
            <w:pPr>
              <w:pStyle w:val="Pieddepage"/>
              <w:tabs>
                <w:tab w:val="left" w:pos="201"/>
              </w:tabs>
              <w:spacing w:before="240"/>
              <w:ind w:left="-709" w:right="-2"/>
              <w:jc w:val="left"/>
              <w:rPr>
                <w:b/>
                <w:bCs/>
                <w:sz w:val="16"/>
                <w:szCs w:val="16"/>
              </w:rPr>
            </w:pPr>
            <w:r>
              <w:tab/>
            </w:r>
            <w:r>
              <w:tab/>
            </w:r>
            <w:r>
              <w:rPr>
                <w:bCs/>
                <w:sz w:val="16"/>
                <w:szCs w:val="16"/>
              </w:rPr>
              <w:t xml:space="preserve"> </w:t>
            </w:r>
          </w:p>
          <w:p w:rsidR="00602139" w:rsidRPr="00B42842" w:rsidRDefault="00602139" w:rsidP="00B95D9A">
            <w:pPr>
              <w:jc w:val="left"/>
              <w:rPr>
                <w:sz w:val="16"/>
                <w:szCs w:val="16"/>
              </w:rPr>
            </w:pPr>
            <w:r w:rsidRPr="00B42842">
              <w:rPr>
                <w:sz w:val="16"/>
                <w:szCs w:val="16"/>
              </w:rPr>
              <w:t xml:space="preserve">ScanSante – </w:t>
            </w:r>
            <w:r>
              <w:rPr>
                <w:sz w:val="16"/>
                <w:szCs w:val="16"/>
              </w:rPr>
              <w:t>ORFEE</w:t>
            </w:r>
            <w:r w:rsidRPr="00B42842">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2569D">
              <w:rPr>
                <w:b/>
                <w:bCs/>
                <w:sz w:val="16"/>
                <w:szCs w:val="16"/>
              </w:rPr>
              <w:fldChar w:fldCharType="begin"/>
            </w:r>
            <w:r w:rsidRPr="0072569D">
              <w:rPr>
                <w:bCs/>
                <w:sz w:val="16"/>
                <w:szCs w:val="16"/>
              </w:rPr>
              <w:instrText>PAGE</w:instrText>
            </w:r>
            <w:r w:rsidRPr="0072569D">
              <w:rPr>
                <w:b/>
                <w:bCs/>
                <w:sz w:val="16"/>
                <w:szCs w:val="16"/>
              </w:rPr>
              <w:fldChar w:fldCharType="separate"/>
            </w:r>
            <w:r w:rsidR="00215F4C">
              <w:rPr>
                <w:bCs/>
                <w:sz w:val="16"/>
                <w:szCs w:val="16"/>
              </w:rPr>
              <w:t>1</w:t>
            </w:r>
            <w:r w:rsidRPr="0072569D">
              <w:rPr>
                <w:b/>
                <w:bCs/>
                <w:sz w:val="16"/>
                <w:szCs w:val="16"/>
              </w:rPr>
              <w:fldChar w:fldCharType="end"/>
            </w:r>
            <w:r w:rsidRPr="0072569D">
              <w:rPr>
                <w:sz w:val="16"/>
                <w:szCs w:val="16"/>
              </w:rPr>
              <w:t xml:space="preserve"> / </w:t>
            </w:r>
            <w:r w:rsidRPr="0072569D">
              <w:rPr>
                <w:b/>
                <w:bCs/>
                <w:sz w:val="16"/>
                <w:szCs w:val="16"/>
              </w:rPr>
              <w:fldChar w:fldCharType="begin"/>
            </w:r>
            <w:r w:rsidRPr="0072569D">
              <w:rPr>
                <w:bCs/>
                <w:sz w:val="16"/>
                <w:szCs w:val="16"/>
              </w:rPr>
              <w:instrText>NUMPAGES</w:instrText>
            </w:r>
            <w:r w:rsidRPr="0072569D">
              <w:rPr>
                <w:b/>
                <w:bCs/>
                <w:sz w:val="16"/>
                <w:szCs w:val="16"/>
              </w:rPr>
              <w:fldChar w:fldCharType="separate"/>
            </w:r>
            <w:r w:rsidR="00215F4C">
              <w:rPr>
                <w:bCs/>
                <w:sz w:val="16"/>
                <w:szCs w:val="16"/>
              </w:rPr>
              <w:t>4</w:t>
            </w:r>
            <w:r w:rsidRPr="0072569D">
              <w:rPr>
                <w:b/>
                <w:bCs/>
                <w:sz w:val="16"/>
                <w:szCs w:val="16"/>
              </w:rPr>
              <w:fldChar w:fldCharType="end"/>
            </w:r>
          </w:p>
          <w:p w:rsidR="00602139" w:rsidRDefault="005C0497" w:rsidP="00B04530">
            <w:pPr>
              <w:pStyle w:val="Pieddepage"/>
              <w:tabs>
                <w:tab w:val="clear" w:pos="9072"/>
              </w:tabs>
              <w:ind w:left="-709" w:right="-711"/>
              <w:jc w:val="lef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97" w:rsidRDefault="005C0497" w:rsidP="0011140B">
      <w:r>
        <w:separator/>
      </w:r>
    </w:p>
  </w:footnote>
  <w:footnote w:type="continuationSeparator" w:id="0">
    <w:p w:rsidR="005C0497" w:rsidRDefault="005C0497" w:rsidP="00111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39" w:rsidRPr="00AF0301" w:rsidRDefault="00602139" w:rsidP="005D2045">
    <w:pPr>
      <w:pStyle w:val="En-tte"/>
      <w:ind w:left="-426" w:firstLine="709"/>
    </w:pPr>
    <w:r>
      <w:drawing>
        <wp:inline distT="0" distB="0" distL="0" distR="0" wp14:anchorId="32D65FE9" wp14:editId="20926267">
          <wp:extent cx="1595120" cy="1172845"/>
          <wp:effectExtent l="0" t="0" r="5080" b="825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95120" cy="1172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073"/>
    <w:multiLevelType w:val="hybridMultilevel"/>
    <w:tmpl w:val="69DA608E"/>
    <w:lvl w:ilvl="0" w:tplc="BC2A31F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545499E"/>
    <w:multiLevelType w:val="hybridMultilevel"/>
    <w:tmpl w:val="9514884E"/>
    <w:lvl w:ilvl="0" w:tplc="D3586E86">
      <w:start w:val="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CF06CA"/>
    <w:multiLevelType w:val="hybridMultilevel"/>
    <w:tmpl w:val="31B09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F962F7"/>
    <w:multiLevelType w:val="multilevel"/>
    <w:tmpl w:val="6EEE1198"/>
    <w:lvl w:ilvl="0">
      <w:start w:val="1"/>
      <w:numFmt w:val="upperRoman"/>
      <w:pStyle w:val="Titre1"/>
      <w:lvlText w:val="%1."/>
      <w:lvlJc w:val="right"/>
      <w:pPr>
        <w:tabs>
          <w:tab w:val="num" w:pos="432"/>
        </w:tabs>
        <w:ind w:left="432" w:hanging="432"/>
      </w:pPr>
      <w:rPr>
        <w:rFonts w:hint="default"/>
        <w:b/>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EAE618C"/>
    <w:multiLevelType w:val="hybridMultilevel"/>
    <w:tmpl w:val="ED101C5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12B262C2"/>
    <w:multiLevelType w:val="hybridMultilevel"/>
    <w:tmpl w:val="3FFAD7AC"/>
    <w:lvl w:ilvl="0" w:tplc="1A1E381E">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2002E3"/>
    <w:multiLevelType w:val="hybridMultilevel"/>
    <w:tmpl w:val="7564F61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1D3A2D"/>
    <w:multiLevelType w:val="hybridMultilevel"/>
    <w:tmpl w:val="A75E2BA4"/>
    <w:lvl w:ilvl="0" w:tplc="3DC41096">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15:restartNumberingAfterBreak="0">
    <w:nsid w:val="2F517607"/>
    <w:multiLevelType w:val="hybridMultilevel"/>
    <w:tmpl w:val="B4E2D61C"/>
    <w:lvl w:ilvl="0" w:tplc="23E0D2FC">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30487136"/>
    <w:multiLevelType w:val="hybridMultilevel"/>
    <w:tmpl w:val="9DD6A8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096DF7"/>
    <w:multiLevelType w:val="hybridMultilevel"/>
    <w:tmpl w:val="B330BC5A"/>
    <w:lvl w:ilvl="0" w:tplc="FC783DB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034F64"/>
    <w:multiLevelType w:val="multilevel"/>
    <w:tmpl w:val="01F2EC54"/>
    <w:lvl w:ilvl="0">
      <w:start w:val="1"/>
      <w:numFmt w:val="decimal"/>
      <w:lvlText w:val="%1."/>
      <w:lvlJc w:val="left"/>
      <w:pPr>
        <w:tabs>
          <w:tab w:val="num" w:pos="432"/>
        </w:tabs>
        <w:ind w:left="432" w:hanging="432"/>
      </w:pPr>
      <w:rPr>
        <w:rFonts w:cs="Times New Roman" w:hint="default"/>
        <w:b/>
      </w:rPr>
    </w:lvl>
    <w:lvl w:ilvl="1">
      <w:start w:val="1"/>
      <w:numFmt w:val="decimal"/>
      <w:pStyle w:val="Titre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37C307D"/>
    <w:multiLevelType w:val="hybridMultilevel"/>
    <w:tmpl w:val="D200CFB0"/>
    <w:lvl w:ilvl="0" w:tplc="4B0EBD54">
      <w:start w:val="1"/>
      <w:numFmt w:val="decimal"/>
      <w:lvlText w:val="%1."/>
      <w:lvlJc w:val="righ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5850322D"/>
    <w:multiLevelType w:val="hybridMultilevel"/>
    <w:tmpl w:val="32263EA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D2494B"/>
    <w:multiLevelType w:val="hybridMultilevel"/>
    <w:tmpl w:val="229C4618"/>
    <w:lvl w:ilvl="0" w:tplc="4B0EBD54">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8072C6"/>
    <w:multiLevelType w:val="hybridMultilevel"/>
    <w:tmpl w:val="C65652C2"/>
    <w:lvl w:ilvl="0" w:tplc="75CC9C7E">
      <w:start w:val="1"/>
      <w:numFmt w:val="lowerLetter"/>
      <w:pStyle w:val="Titre4"/>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D31950"/>
    <w:multiLevelType w:val="hybridMultilevel"/>
    <w:tmpl w:val="6EE81DE0"/>
    <w:lvl w:ilvl="0" w:tplc="040C000B">
      <w:start w:val="1"/>
      <w:numFmt w:val="bullet"/>
      <w:lvlText w:val=""/>
      <w:lvlJc w:val="left"/>
      <w:pPr>
        <w:tabs>
          <w:tab w:val="num" w:pos="700"/>
        </w:tabs>
        <w:ind w:left="70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D40E8"/>
    <w:multiLevelType w:val="hybridMultilevel"/>
    <w:tmpl w:val="3398BE20"/>
    <w:lvl w:ilvl="0" w:tplc="B950CA4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D54F2C"/>
    <w:multiLevelType w:val="hybridMultilevel"/>
    <w:tmpl w:val="DE864C0C"/>
    <w:lvl w:ilvl="0" w:tplc="BC2A31F4">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6"/>
  </w:num>
  <w:num w:numId="2">
    <w:abstractNumId w:val="3"/>
  </w:num>
  <w:num w:numId="3">
    <w:abstractNumId w:val="11"/>
  </w:num>
  <w:num w:numId="4">
    <w:abstractNumId w:val="14"/>
  </w:num>
  <w:num w:numId="5">
    <w:abstractNumId w:val="13"/>
  </w:num>
  <w:num w:numId="6">
    <w:abstractNumId w:val="15"/>
  </w:num>
  <w:num w:numId="7">
    <w:abstractNumId w:val="7"/>
  </w:num>
  <w:num w:numId="8">
    <w:abstractNumId w:val="12"/>
  </w:num>
  <w:num w:numId="9">
    <w:abstractNumId w:val="18"/>
  </w:num>
  <w:num w:numId="10">
    <w:abstractNumId w:val="8"/>
  </w:num>
  <w:num w:numId="11">
    <w:abstractNumId w:val="0"/>
  </w:num>
  <w:num w:numId="12">
    <w:abstractNumId w:val="4"/>
  </w:num>
  <w:num w:numId="13">
    <w:abstractNumId w:val="2"/>
  </w:num>
  <w:num w:numId="14">
    <w:abstractNumId w:val="9"/>
  </w:num>
  <w:num w:numId="15">
    <w:abstractNumId w:val="17"/>
  </w:num>
  <w:num w:numId="16">
    <w:abstractNumId w:val="10"/>
  </w:num>
  <w:num w:numId="17">
    <w:abstractNumId w:val="6"/>
  </w:num>
  <w:num w:numId="18">
    <w:abstractNumId w:val="1"/>
  </w:num>
  <w:num w:numId="19">
    <w:abstractNumId w:val="10"/>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D9"/>
    <w:rsid w:val="000047C8"/>
    <w:rsid w:val="00005269"/>
    <w:rsid w:val="00007F28"/>
    <w:rsid w:val="000115D5"/>
    <w:rsid w:val="00014CD5"/>
    <w:rsid w:val="00017615"/>
    <w:rsid w:val="00020247"/>
    <w:rsid w:val="0002095F"/>
    <w:rsid w:val="00023653"/>
    <w:rsid w:val="00025139"/>
    <w:rsid w:val="000265EF"/>
    <w:rsid w:val="00031AF4"/>
    <w:rsid w:val="0003383D"/>
    <w:rsid w:val="00033D21"/>
    <w:rsid w:val="00036463"/>
    <w:rsid w:val="00044A2E"/>
    <w:rsid w:val="00050279"/>
    <w:rsid w:val="00052C25"/>
    <w:rsid w:val="00061E03"/>
    <w:rsid w:val="00063453"/>
    <w:rsid w:val="000744E9"/>
    <w:rsid w:val="00074575"/>
    <w:rsid w:val="00076B8D"/>
    <w:rsid w:val="000816B9"/>
    <w:rsid w:val="0008173F"/>
    <w:rsid w:val="00083099"/>
    <w:rsid w:val="0008495B"/>
    <w:rsid w:val="00085197"/>
    <w:rsid w:val="00085B19"/>
    <w:rsid w:val="00092B5A"/>
    <w:rsid w:val="000A5AC3"/>
    <w:rsid w:val="000A6781"/>
    <w:rsid w:val="000B2091"/>
    <w:rsid w:val="000B5E55"/>
    <w:rsid w:val="000C0019"/>
    <w:rsid w:val="000D0ADC"/>
    <w:rsid w:val="000D4CE1"/>
    <w:rsid w:val="000D63AB"/>
    <w:rsid w:val="000E1F22"/>
    <w:rsid w:val="000E28BF"/>
    <w:rsid w:val="000E4DC5"/>
    <w:rsid w:val="000E6349"/>
    <w:rsid w:val="00102DBC"/>
    <w:rsid w:val="00103586"/>
    <w:rsid w:val="001053BC"/>
    <w:rsid w:val="0011140B"/>
    <w:rsid w:val="00117225"/>
    <w:rsid w:val="00123A04"/>
    <w:rsid w:val="00137E73"/>
    <w:rsid w:val="00142733"/>
    <w:rsid w:val="00150BC2"/>
    <w:rsid w:val="0015552E"/>
    <w:rsid w:val="00155D5A"/>
    <w:rsid w:val="001604D3"/>
    <w:rsid w:val="00163729"/>
    <w:rsid w:val="00166370"/>
    <w:rsid w:val="0017437A"/>
    <w:rsid w:val="0018253B"/>
    <w:rsid w:val="001B04D9"/>
    <w:rsid w:val="001B24FA"/>
    <w:rsid w:val="001B6EAF"/>
    <w:rsid w:val="001D317E"/>
    <w:rsid w:val="001D53EF"/>
    <w:rsid w:val="001D75A8"/>
    <w:rsid w:val="001E0968"/>
    <w:rsid w:val="001E34DD"/>
    <w:rsid w:val="001E7526"/>
    <w:rsid w:val="00203DFB"/>
    <w:rsid w:val="002052C9"/>
    <w:rsid w:val="002052D3"/>
    <w:rsid w:val="002062BC"/>
    <w:rsid w:val="00215F4C"/>
    <w:rsid w:val="00216B9D"/>
    <w:rsid w:val="00217827"/>
    <w:rsid w:val="002230DB"/>
    <w:rsid w:val="00224D61"/>
    <w:rsid w:val="00226C45"/>
    <w:rsid w:val="0022749E"/>
    <w:rsid w:val="00240970"/>
    <w:rsid w:val="0024142B"/>
    <w:rsid w:val="0024525C"/>
    <w:rsid w:val="00245931"/>
    <w:rsid w:val="0024648A"/>
    <w:rsid w:val="002500CA"/>
    <w:rsid w:val="00253474"/>
    <w:rsid w:val="002578ED"/>
    <w:rsid w:val="00263306"/>
    <w:rsid w:val="00270781"/>
    <w:rsid w:val="00281C1F"/>
    <w:rsid w:val="002864FB"/>
    <w:rsid w:val="00290F14"/>
    <w:rsid w:val="00291F5A"/>
    <w:rsid w:val="00292AD4"/>
    <w:rsid w:val="002A12D4"/>
    <w:rsid w:val="002A3199"/>
    <w:rsid w:val="002A3862"/>
    <w:rsid w:val="002A53A3"/>
    <w:rsid w:val="002A653B"/>
    <w:rsid w:val="002B1679"/>
    <w:rsid w:val="002C7DDB"/>
    <w:rsid w:val="002D0C76"/>
    <w:rsid w:val="002D2854"/>
    <w:rsid w:val="002E0CD7"/>
    <w:rsid w:val="002F0DF2"/>
    <w:rsid w:val="002F0F90"/>
    <w:rsid w:val="002F2CE6"/>
    <w:rsid w:val="002F585D"/>
    <w:rsid w:val="00302B48"/>
    <w:rsid w:val="00303D1C"/>
    <w:rsid w:val="00307611"/>
    <w:rsid w:val="00307A4F"/>
    <w:rsid w:val="003116D3"/>
    <w:rsid w:val="0032070B"/>
    <w:rsid w:val="0032704D"/>
    <w:rsid w:val="00331A38"/>
    <w:rsid w:val="00333402"/>
    <w:rsid w:val="00337F31"/>
    <w:rsid w:val="0034048D"/>
    <w:rsid w:val="00341125"/>
    <w:rsid w:val="00341726"/>
    <w:rsid w:val="003654F3"/>
    <w:rsid w:val="00383F58"/>
    <w:rsid w:val="00384648"/>
    <w:rsid w:val="00385DC0"/>
    <w:rsid w:val="003920D8"/>
    <w:rsid w:val="003922E8"/>
    <w:rsid w:val="003935C4"/>
    <w:rsid w:val="00397506"/>
    <w:rsid w:val="003A15F6"/>
    <w:rsid w:val="003B6310"/>
    <w:rsid w:val="003C42C2"/>
    <w:rsid w:val="003C7A7E"/>
    <w:rsid w:val="003D156B"/>
    <w:rsid w:val="003D28C0"/>
    <w:rsid w:val="003D2F53"/>
    <w:rsid w:val="003D4008"/>
    <w:rsid w:val="003D6028"/>
    <w:rsid w:val="003D67C6"/>
    <w:rsid w:val="003D6F90"/>
    <w:rsid w:val="003E4EA0"/>
    <w:rsid w:val="003F063F"/>
    <w:rsid w:val="003F0928"/>
    <w:rsid w:val="003F74BB"/>
    <w:rsid w:val="00402497"/>
    <w:rsid w:val="004130A0"/>
    <w:rsid w:val="004166F3"/>
    <w:rsid w:val="00420F1A"/>
    <w:rsid w:val="00421F29"/>
    <w:rsid w:val="004276BF"/>
    <w:rsid w:val="004442C3"/>
    <w:rsid w:val="00446DBC"/>
    <w:rsid w:val="00452A82"/>
    <w:rsid w:val="00452DE6"/>
    <w:rsid w:val="00453C8B"/>
    <w:rsid w:val="004546F2"/>
    <w:rsid w:val="00456849"/>
    <w:rsid w:val="0046192C"/>
    <w:rsid w:val="00470632"/>
    <w:rsid w:val="0047690F"/>
    <w:rsid w:val="004872D7"/>
    <w:rsid w:val="00490CD6"/>
    <w:rsid w:val="004B35FD"/>
    <w:rsid w:val="004B4BBB"/>
    <w:rsid w:val="004C7EEE"/>
    <w:rsid w:val="004D00A2"/>
    <w:rsid w:val="004E11DC"/>
    <w:rsid w:val="004E14AF"/>
    <w:rsid w:val="004E49A4"/>
    <w:rsid w:val="004E7125"/>
    <w:rsid w:val="004E7FEF"/>
    <w:rsid w:val="004F24FB"/>
    <w:rsid w:val="004F538D"/>
    <w:rsid w:val="005032D7"/>
    <w:rsid w:val="00515BEB"/>
    <w:rsid w:val="005178D8"/>
    <w:rsid w:val="00517917"/>
    <w:rsid w:val="005204CC"/>
    <w:rsid w:val="00527FB9"/>
    <w:rsid w:val="00540358"/>
    <w:rsid w:val="0054504F"/>
    <w:rsid w:val="00551775"/>
    <w:rsid w:val="00563744"/>
    <w:rsid w:val="00563C85"/>
    <w:rsid w:val="005655E0"/>
    <w:rsid w:val="00571330"/>
    <w:rsid w:val="005721D7"/>
    <w:rsid w:val="00572AA5"/>
    <w:rsid w:val="00580E90"/>
    <w:rsid w:val="00581293"/>
    <w:rsid w:val="00585DF9"/>
    <w:rsid w:val="00587186"/>
    <w:rsid w:val="00594375"/>
    <w:rsid w:val="005B13A0"/>
    <w:rsid w:val="005B1F91"/>
    <w:rsid w:val="005B336D"/>
    <w:rsid w:val="005B35BD"/>
    <w:rsid w:val="005B35D6"/>
    <w:rsid w:val="005B3F29"/>
    <w:rsid w:val="005B42FE"/>
    <w:rsid w:val="005B5123"/>
    <w:rsid w:val="005B6F6C"/>
    <w:rsid w:val="005C0497"/>
    <w:rsid w:val="005C3644"/>
    <w:rsid w:val="005C37A2"/>
    <w:rsid w:val="005D2045"/>
    <w:rsid w:val="005D2226"/>
    <w:rsid w:val="005D3A4B"/>
    <w:rsid w:val="005D4547"/>
    <w:rsid w:val="005D7960"/>
    <w:rsid w:val="005E0AA7"/>
    <w:rsid w:val="005E411F"/>
    <w:rsid w:val="00600E74"/>
    <w:rsid w:val="00602139"/>
    <w:rsid w:val="0060373D"/>
    <w:rsid w:val="006146F4"/>
    <w:rsid w:val="00614DE8"/>
    <w:rsid w:val="00617B22"/>
    <w:rsid w:val="006209A3"/>
    <w:rsid w:val="00634321"/>
    <w:rsid w:val="0064217C"/>
    <w:rsid w:val="0064698E"/>
    <w:rsid w:val="00652536"/>
    <w:rsid w:val="00661585"/>
    <w:rsid w:val="006738FE"/>
    <w:rsid w:val="00673E83"/>
    <w:rsid w:val="00674E29"/>
    <w:rsid w:val="00682AD1"/>
    <w:rsid w:val="00684C7B"/>
    <w:rsid w:val="00687461"/>
    <w:rsid w:val="006900EA"/>
    <w:rsid w:val="00690A8B"/>
    <w:rsid w:val="006910C6"/>
    <w:rsid w:val="006913CF"/>
    <w:rsid w:val="0069313F"/>
    <w:rsid w:val="00693B69"/>
    <w:rsid w:val="00696636"/>
    <w:rsid w:val="006A1E32"/>
    <w:rsid w:val="006A6546"/>
    <w:rsid w:val="006B1974"/>
    <w:rsid w:val="006B32AD"/>
    <w:rsid w:val="006B6EF5"/>
    <w:rsid w:val="006C08DB"/>
    <w:rsid w:val="006D1CAB"/>
    <w:rsid w:val="006D269F"/>
    <w:rsid w:val="006D4660"/>
    <w:rsid w:val="006E2E0C"/>
    <w:rsid w:val="006E5666"/>
    <w:rsid w:val="006E7830"/>
    <w:rsid w:val="006E7A9A"/>
    <w:rsid w:val="006F260B"/>
    <w:rsid w:val="006F3C5A"/>
    <w:rsid w:val="0070002D"/>
    <w:rsid w:val="00706B7F"/>
    <w:rsid w:val="0072569D"/>
    <w:rsid w:val="00733496"/>
    <w:rsid w:val="007354D4"/>
    <w:rsid w:val="00745282"/>
    <w:rsid w:val="007468C7"/>
    <w:rsid w:val="00746929"/>
    <w:rsid w:val="00746A57"/>
    <w:rsid w:val="00753891"/>
    <w:rsid w:val="00761861"/>
    <w:rsid w:val="007654D7"/>
    <w:rsid w:val="007674F4"/>
    <w:rsid w:val="00773016"/>
    <w:rsid w:val="00773C95"/>
    <w:rsid w:val="00774180"/>
    <w:rsid w:val="007824A1"/>
    <w:rsid w:val="007841C8"/>
    <w:rsid w:val="007A1EEB"/>
    <w:rsid w:val="007B0F40"/>
    <w:rsid w:val="007B43E9"/>
    <w:rsid w:val="007D1BBB"/>
    <w:rsid w:val="007E0F52"/>
    <w:rsid w:val="007E4E7B"/>
    <w:rsid w:val="007F1831"/>
    <w:rsid w:val="007F2B20"/>
    <w:rsid w:val="007F4414"/>
    <w:rsid w:val="007F5C61"/>
    <w:rsid w:val="0080288A"/>
    <w:rsid w:val="0080295B"/>
    <w:rsid w:val="00806027"/>
    <w:rsid w:val="008067DB"/>
    <w:rsid w:val="00806BA7"/>
    <w:rsid w:val="00814FE9"/>
    <w:rsid w:val="00821A86"/>
    <w:rsid w:val="00831A5C"/>
    <w:rsid w:val="00831F81"/>
    <w:rsid w:val="008372E7"/>
    <w:rsid w:val="0084613F"/>
    <w:rsid w:val="00846569"/>
    <w:rsid w:val="00846834"/>
    <w:rsid w:val="00856FA5"/>
    <w:rsid w:val="00866E4A"/>
    <w:rsid w:val="00867F0D"/>
    <w:rsid w:val="00873BD2"/>
    <w:rsid w:val="00875EAA"/>
    <w:rsid w:val="00880AC8"/>
    <w:rsid w:val="008824B6"/>
    <w:rsid w:val="0088641C"/>
    <w:rsid w:val="0088672C"/>
    <w:rsid w:val="00890ACF"/>
    <w:rsid w:val="0089188E"/>
    <w:rsid w:val="008923EE"/>
    <w:rsid w:val="008A504F"/>
    <w:rsid w:val="008B6F23"/>
    <w:rsid w:val="008C153C"/>
    <w:rsid w:val="008C25BE"/>
    <w:rsid w:val="008C51A1"/>
    <w:rsid w:val="008C7612"/>
    <w:rsid w:val="008D01E3"/>
    <w:rsid w:val="008D1A94"/>
    <w:rsid w:val="008D439E"/>
    <w:rsid w:val="008E08BE"/>
    <w:rsid w:val="008E403F"/>
    <w:rsid w:val="008E4390"/>
    <w:rsid w:val="008F15A7"/>
    <w:rsid w:val="008F46A6"/>
    <w:rsid w:val="008F7D0D"/>
    <w:rsid w:val="009024C9"/>
    <w:rsid w:val="00902E25"/>
    <w:rsid w:val="0090790A"/>
    <w:rsid w:val="009102FC"/>
    <w:rsid w:val="00910A5A"/>
    <w:rsid w:val="00911F4E"/>
    <w:rsid w:val="009136DA"/>
    <w:rsid w:val="00916BA7"/>
    <w:rsid w:val="00925AEC"/>
    <w:rsid w:val="009262C5"/>
    <w:rsid w:val="00926B51"/>
    <w:rsid w:val="0093079D"/>
    <w:rsid w:val="00933ED1"/>
    <w:rsid w:val="00934973"/>
    <w:rsid w:val="009428B5"/>
    <w:rsid w:val="00944FD8"/>
    <w:rsid w:val="009502BA"/>
    <w:rsid w:val="009541CD"/>
    <w:rsid w:val="009554C4"/>
    <w:rsid w:val="00967B1C"/>
    <w:rsid w:val="00971B16"/>
    <w:rsid w:val="00971EEA"/>
    <w:rsid w:val="00981E92"/>
    <w:rsid w:val="00982C6D"/>
    <w:rsid w:val="00983B64"/>
    <w:rsid w:val="00990634"/>
    <w:rsid w:val="00991805"/>
    <w:rsid w:val="00992AAB"/>
    <w:rsid w:val="00994FE5"/>
    <w:rsid w:val="009966E8"/>
    <w:rsid w:val="009A1D56"/>
    <w:rsid w:val="009A2418"/>
    <w:rsid w:val="009A351D"/>
    <w:rsid w:val="009A60CD"/>
    <w:rsid w:val="009B0327"/>
    <w:rsid w:val="009B07D1"/>
    <w:rsid w:val="009B2D48"/>
    <w:rsid w:val="009C020B"/>
    <w:rsid w:val="009C1C9F"/>
    <w:rsid w:val="009C5FE0"/>
    <w:rsid w:val="009D49EA"/>
    <w:rsid w:val="009E3100"/>
    <w:rsid w:val="009E45AB"/>
    <w:rsid w:val="009F0680"/>
    <w:rsid w:val="009F58E2"/>
    <w:rsid w:val="009F6719"/>
    <w:rsid w:val="009F7FEE"/>
    <w:rsid w:val="00A0182F"/>
    <w:rsid w:val="00A12943"/>
    <w:rsid w:val="00A16CE9"/>
    <w:rsid w:val="00A1762E"/>
    <w:rsid w:val="00A23C82"/>
    <w:rsid w:val="00A24A61"/>
    <w:rsid w:val="00A2614E"/>
    <w:rsid w:val="00A449CD"/>
    <w:rsid w:val="00A54558"/>
    <w:rsid w:val="00A574FD"/>
    <w:rsid w:val="00A63230"/>
    <w:rsid w:val="00A66C31"/>
    <w:rsid w:val="00A7474C"/>
    <w:rsid w:val="00A76CDC"/>
    <w:rsid w:val="00A815CB"/>
    <w:rsid w:val="00A839CF"/>
    <w:rsid w:val="00A84030"/>
    <w:rsid w:val="00A84151"/>
    <w:rsid w:val="00A904C7"/>
    <w:rsid w:val="00A95476"/>
    <w:rsid w:val="00A975D7"/>
    <w:rsid w:val="00AA607D"/>
    <w:rsid w:val="00AB047A"/>
    <w:rsid w:val="00AB1F98"/>
    <w:rsid w:val="00AB42D8"/>
    <w:rsid w:val="00AB72FC"/>
    <w:rsid w:val="00AC2A3C"/>
    <w:rsid w:val="00AC3B7C"/>
    <w:rsid w:val="00AC7C71"/>
    <w:rsid w:val="00AD41B2"/>
    <w:rsid w:val="00AE12E6"/>
    <w:rsid w:val="00AE71C3"/>
    <w:rsid w:val="00AF1864"/>
    <w:rsid w:val="00AF1C26"/>
    <w:rsid w:val="00B04530"/>
    <w:rsid w:val="00B05913"/>
    <w:rsid w:val="00B079D7"/>
    <w:rsid w:val="00B14DFE"/>
    <w:rsid w:val="00B20C34"/>
    <w:rsid w:val="00B26D8C"/>
    <w:rsid w:val="00B27AF4"/>
    <w:rsid w:val="00B310AF"/>
    <w:rsid w:val="00B31455"/>
    <w:rsid w:val="00B35762"/>
    <w:rsid w:val="00B371B2"/>
    <w:rsid w:val="00B408B7"/>
    <w:rsid w:val="00B42842"/>
    <w:rsid w:val="00B42EBB"/>
    <w:rsid w:val="00B47966"/>
    <w:rsid w:val="00B53DA6"/>
    <w:rsid w:val="00B6244A"/>
    <w:rsid w:val="00B641BA"/>
    <w:rsid w:val="00B66BDC"/>
    <w:rsid w:val="00B772D8"/>
    <w:rsid w:val="00B83F23"/>
    <w:rsid w:val="00B84352"/>
    <w:rsid w:val="00B95D9A"/>
    <w:rsid w:val="00B970BF"/>
    <w:rsid w:val="00BA3EEB"/>
    <w:rsid w:val="00BA7C8A"/>
    <w:rsid w:val="00BA7EEB"/>
    <w:rsid w:val="00BB54BD"/>
    <w:rsid w:val="00BC13AC"/>
    <w:rsid w:val="00BC4C9D"/>
    <w:rsid w:val="00BC5B07"/>
    <w:rsid w:val="00BC74F4"/>
    <w:rsid w:val="00BC7CC2"/>
    <w:rsid w:val="00BD42AD"/>
    <w:rsid w:val="00BD6745"/>
    <w:rsid w:val="00C00D16"/>
    <w:rsid w:val="00C07ACB"/>
    <w:rsid w:val="00C07C31"/>
    <w:rsid w:val="00C07CA4"/>
    <w:rsid w:val="00C11875"/>
    <w:rsid w:val="00C12FB7"/>
    <w:rsid w:val="00C14016"/>
    <w:rsid w:val="00C2544A"/>
    <w:rsid w:val="00C376F4"/>
    <w:rsid w:val="00C61ECF"/>
    <w:rsid w:val="00C70F7B"/>
    <w:rsid w:val="00C7771E"/>
    <w:rsid w:val="00C92548"/>
    <w:rsid w:val="00C97269"/>
    <w:rsid w:val="00C97DC4"/>
    <w:rsid w:val="00CC407B"/>
    <w:rsid w:val="00CC46F1"/>
    <w:rsid w:val="00CD6E55"/>
    <w:rsid w:val="00CD7477"/>
    <w:rsid w:val="00CE19AA"/>
    <w:rsid w:val="00CE1F59"/>
    <w:rsid w:val="00CE2B59"/>
    <w:rsid w:val="00CE3232"/>
    <w:rsid w:val="00CE4B42"/>
    <w:rsid w:val="00CE6C82"/>
    <w:rsid w:val="00CE78CB"/>
    <w:rsid w:val="00CF30AE"/>
    <w:rsid w:val="00D00C14"/>
    <w:rsid w:val="00D02FFA"/>
    <w:rsid w:val="00D108DB"/>
    <w:rsid w:val="00D15DC5"/>
    <w:rsid w:val="00D21D9A"/>
    <w:rsid w:val="00D21E59"/>
    <w:rsid w:val="00D23387"/>
    <w:rsid w:val="00D267ED"/>
    <w:rsid w:val="00D30EEC"/>
    <w:rsid w:val="00D30F0C"/>
    <w:rsid w:val="00D31E40"/>
    <w:rsid w:val="00D356CB"/>
    <w:rsid w:val="00D36016"/>
    <w:rsid w:val="00D365D9"/>
    <w:rsid w:val="00D4666E"/>
    <w:rsid w:val="00D5137E"/>
    <w:rsid w:val="00D565AC"/>
    <w:rsid w:val="00D61EAD"/>
    <w:rsid w:val="00D7146F"/>
    <w:rsid w:val="00D72FA8"/>
    <w:rsid w:val="00D73CDD"/>
    <w:rsid w:val="00D7696F"/>
    <w:rsid w:val="00D8560D"/>
    <w:rsid w:val="00D8729B"/>
    <w:rsid w:val="00D937AB"/>
    <w:rsid w:val="00D953A1"/>
    <w:rsid w:val="00DA4F93"/>
    <w:rsid w:val="00DB0CB0"/>
    <w:rsid w:val="00DB2E43"/>
    <w:rsid w:val="00DB4527"/>
    <w:rsid w:val="00DC0A55"/>
    <w:rsid w:val="00DC1C1F"/>
    <w:rsid w:val="00DC2792"/>
    <w:rsid w:val="00DC509D"/>
    <w:rsid w:val="00DC5684"/>
    <w:rsid w:val="00DF4853"/>
    <w:rsid w:val="00E0277D"/>
    <w:rsid w:val="00E03CCB"/>
    <w:rsid w:val="00E04870"/>
    <w:rsid w:val="00E11AFA"/>
    <w:rsid w:val="00E25232"/>
    <w:rsid w:val="00E30196"/>
    <w:rsid w:val="00E319D9"/>
    <w:rsid w:val="00E327D9"/>
    <w:rsid w:val="00E33115"/>
    <w:rsid w:val="00E35B86"/>
    <w:rsid w:val="00E365C7"/>
    <w:rsid w:val="00E36D50"/>
    <w:rsid w:val="00E44B1B"/>
    <w:rsid w:val="00E45D08"/>
    <w:rsid w:val="00E4674E"/>
    <w:rsid w:val="00E57CD7"/>
    <w:rsid w:val="00E81CD4"/>
    <w:rsid w:val="00E81FCA"/>
    <w:rsid w:val="00E85533"/>
    <w:rsid w:val="00E95BAD"/>
    <w:rsid w:val="00EA01C2"/>
    <w:rsid w:val="00EA0AEC"/>
    <w:rsid w:val="00EA4356"/>
    <w:rsid w:val="00EB4D43"/>
    <w:rsid w:val="00EB684B"/>
    <w:rsid w:val="00EE1E5F"/>
    <w:rsid w:val="00EE27D0"/>
    <w:rsid w:val="00EE5286"/>
    <w:rsid w:val="00EE7C25"/>
    <w:rsid w:val="00F03F91"/>
    <w:rsid w:val="00F04CF3"/>
    <w:rsid w:val="00F050D3"/>
    <w:rsid w:val="00F052BF"/>
    <w:rsid w:val="00F17164"/>
    <w:rsid w:val="00F17AF9"/>
    <w:rsid w:val="00F23BC0"/>
    <w:rsid w:val="00F23DE4"/>
    <w:rsid w:val="00F31075"/>
    <w:rsid w:val="00F328BD"/>
    <w:rsid w:val="00F34842"/>
    <w:rsid w:val="00F354B2"/>
    <w:rsid w:val="00F4436F"/>
    <w:rsid w:val="00F44DA7"/>
    <w:rsid w:val="00F46F41"/>
    <w:rsid w:val="00F54A69"/>
    <w:rsid w:val="00F55006"/>
    <w:rsid w:val="00F606BD"/>
    <w:rsid w:val="00F714CE"/>
    <w:rsid w:val="00F779D7"/>
    <w:rsid w:val="00F82F7D"/>
    <w:rsid w:val="00F83B78"/>
    <w:rsid w:val="00F8438C"/>
    <w:rsid w:val="00F86435"/>
    <w:rsid w:val="00FA250B"/>
    <w:rsid w:val="00FB1D1E"/>
    <w:rsid w:val="00FD4E90"/>
    <w:rsid w:val="00FE1279"/>
    <w:rsid w:val="00FF17FD"/>
    <w:rsid w:val="00FF1B1F"/>
    <w:rsid w:val="00FF73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BACDCA-E277-42C9-B5C2-7F7BB9DC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0B"/>
    <w:pPr>
      <w:spacing w:before="120" w:line="288" w:lineRule="auto"/>
      <w:jc w:val="both"/>
    </w:pPr>
    <w:rPr>
      <w:rFonts w:ascii="Arial" w:hAnsi="Arial"/>
      <w:noProof/>
      <w:sz w:val="20"/>
      <w:szCs w:val="20"/>
    </w:rPr>
  </w:style>
  <w:style w:type="paragraph" w:styleId="Titre1">
    <w:name w:val="heading 1"/>
    <w:basedOn w:val="Normal"/>
    <w:next w:val="Normal"/>
    <w:link w:val="Titre1Car"/>
    <w:autoRedefine/>
    <w:uiPriority w:val="99"/>
    <w:qFormat/>
    <w:rsid w:val="00674E29"/>
    <w:pPr>
      <w:keepNext/>
      <w:numPr>
        <w:numId w:val="2"/>
      </w:numPr>
      <w:tabs>
        <w:tab w:val="clear" w:pos="432"/>
      </w:tabs>
      <w:spacing w:before="240" w:after="240"/>
      <w:ind w:left="426" w:hanging="290"/>
      <w:outlineLvl w:val="0"/>
    </w:pPr>
    <w:rPr>
      <w:rFonts w:cs="Arial"/>
      <w:b/>
      <w:color w:val="514B64"/>
      <w:kern w:val="28"/>
      <w:sz w:val="24"/>
      <w:szCs w:val="24"/>
    </w:rPr>
  </w:style>
  <w:style w:type="paragraph" w:styleId="Titre2">
    <w:name w:val="heading 2"/>
    <w:basedOn w:val="Normal"/>
    <w:next w:val="Normal"/>
    <w:link w:val="Titre2Car"/>
    <w:uiPriority w:val="99"/>
    <w:qFormat/>
    <w:rsid w:val="0011140B"/>
    <w:pPr>
      <w:keepNext/>
      <w:numPr>
        <w:ilvl w:val="1"/>
        <w:numId w:val="3"/>
      </w:numPr>
      <w:spacing w:after="120"/>
      <w:outlineLvl w:val="1"/>
    </w:pPr>
    <w:rPr>
      <w:rFonts w:cs="Arial"/>
      <w:b/>
      <w:bCs/>
      <w:iCs/>
      <w:color w:val="514B64"/>
    </w:rPr>
  </w:style>
  <w:style w:type="paragraph" w:styleId="Titre4">
    <w:name w:val="heading 4"/>
    <w:basedOn w:val="Normal"/>
    <w:next w:val="Normal"/>
    <w:link w:val="Titre4Car"/>
    <w:unhideWhenUsed/>
    <w:qFormat/>
    <w:locked/>
    <w:rsid w:val="0080288A"/>
    <w:pPr>
      <w:keepNext/>
      <w:keepLines/>
      <w:numPr>
        <w:numId w:val="6"/>
      </w:numPr>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74E29"/>
    <w:rPr>
      <w:rFonts w:ascii="Arial" w:hAnsi="Arial" w:cs="Arial"/>
      <w:b/>
      <w:noProof/>
      <w:color w:val="514B64"/>
      <w:kern w:val="28"/>
      <w:sz w:val="24"/>
      <w:szCs w:val="24"/>
    </w:rPr>
  </w:style>
  <w:style w:type="character" w:customStyle="1" w:styleId="Titre2Car">
    <w:name w:val="Titre 2 Car"/>
    <w:basedOn w:val="Policepardfaut"/>
    <w:link w:val="Titre2"/>
    <w:uiPriority w:val="99"/>
    <w:locked/>
    <w:rsid w:val="0011140B"/>
    <w:rPr>
      <w:rFonts w:ascii="Arial" w:hAnsi="Arial" w:cs="Arial"/>
      <w:b/>
      <w:bCs/>
      <w:iCs/>
      <w:noProof/>
      <w:color w:val="514B64"/>
      <w:sz w:val="20"/>
      <w:szCs w:val="20"/>
    </w:rPr>
  </w:style>
  <w:style w:type="paragraph" w:styleId="Titre">
    <w:name w:val="Title"/>
    <w:basedOn w:val="Normal"/>
    <w:link w:val="TitreCar"/>
    <w:uiPriority w:val="99"/>
    <w:qFormat/>
    <w:rsid w:val="002A12D4"/>
    <w:pPr>
      <w:ind w:left="-142" w:right="-177"/>
      <w:jc w:val="center"/>
      <w:outlineLvl w:val="0"/>
    </w:pPr>
    <w:rPr>
      <w:rFonts w:cs="Arial"/>
      <w:b/>
      <w:color w:val="514B64"/>
      <w:sz w:val="32"/>
      <w:szCs w:val="32"/>
    </w:rPr>
  </w:style>
  <w:style w:type="character" w:customStyle="1" w:styleId="TitreCar">
    <w:name w:val="Titre Car"/>
    <w:basedOn w:val="Policepardfaut"/>
    <w:link w:val="Titre"/>
    <w:uiPriority w:val="99"/>
    <w:locked/>
    <w:rsid w:val="002A12D4"/>
    <w:rPr>
      <w:rFonts w:ascii="Arial" w:hAnsi="Arial" w:cs="Arial"/>
      <w:b/>
      <w:color w:val="514B64"/>
      <w:sz w:val="32"/>
      <w:szCs w:val="32"/>
    </w:rPr>
  </w:style>
  <w:style w:type="paragraph" w:styleId="En-tte">
    <w:name w:val="header"/>
    <w:basedOn w:val="Normal"/>
    <w:link w:val="En-tteCar"/>
    <w:rsid w:val="003F74BB"/>
    <w:pPr>
      <w:tabs>
        <w:tab w:val="center" w:pos="4536"/>
        <w:tab w:val="right" w:pos="9072"/>
      </w:tabs>
    </w:pPr>
    <w:rPr>
      <w:rFonts w:ascii="Times New Roman" w:hAnsi="Times New Roman"/>
    </w:rPr>
  </w:style>
  <w:style w:type="character" w:customStyle="1" w:styleId="En-tteCar">
    <w:name w:val="En-tête Car"/>
    <w:basedOn w:val="Policepardfaut"/>
    <w:link w:val="En-tte"/>
    <w:locked/>
    <w:rsid w:val="00AB047A"/>
    <w:rPr>
      <w:rFonts w:ascii="Arial" w:hAnsi="Arial" w:cs="Times New Roman"/>
      <w:sz w:val="20"/>
      <w:szCs w:val="20"/>
    </w:rPr>
  </w:style>
  <w:style w:type="paragraph" w:styleId="Pieddepage">
    <w:name w:val="footer"/>
    <w:basedOn w:val="Normal"/>
    <w:link w:val="PieddepageCar"/>
    <w:uiPriority w:val="99"/>
    <w:rsid w:val="003F74BB"/>
    <w:pPr>
      <w:tabs>
        <w:tab w:val="center" w:pos="4536"/>
        <w:tab w:val="right" w:pos="9072"/>
      </w:tabs>
    </w:pPr>
  </w:style>
  <w:style w:type="character" w:customStyle="1" w:styleId="PieddepageCar">
    <w:name w:val="Pied de page Car"/>
    <w:basedOn w:val="Policepardfaut"/>
    <w:link w:val="Pieddepage"/>
    <w:uiPriority w:val="99"/>
    <w:locked/>
    <w:rsid w:val="00AB047A"/>
    <w:rPr>
      <w:rFonts w:ascii="Arial" w:hAnsi="Arial" w:cs="Times New Roman"/>
      <w:sz w:val="20"/>
      <w:szCs w:val="20"/>
    </w:rPr>
  </w:style>
  <w:style w:type="character" w:styleId="Numrodepage">
    <w:name w:val="page number"/>
    <w:basedOn w:val="Policepardfaut"/>
    <w:uiPriority w:val="99"/>
    <w:rsid w:val="003F74BB"/>
    <w:rPr>
      <w:rFonts w:cs="Times New Roman"/>
    </w:rPr>
  </w:style>
  <w:style w:type="paragraph" w:customStyle="1" w:styleId="CarCar3CarCarCarCarCarCar">
    <w:name w:val="Car Car3 Car Car Car Car Car Car"/>
    <w:basedOn w:val="Normal"/>
    <w:uiPriority w:val="99"/>
    <w:rsid w:val="003F74BB"/>
    <w:pPr>
      <w:widowControl w:val="0"/>
      <w:overflowPunct w:val="0"/>
      <w:autoSpaceDE w:val="0"/>
      <w:autoSpaceDN w:val="0"/>
      <w:adjustRightInd w:val="0"/>
      <w:spacing w:after="160" w:line="240" w:lineRule="exact"/>
      <w:jc w:val="left"/>
      <w:textAlignment w:val="baseline"/>
    </w:pPr>
    <w:rPr>
      <w:rFonts w:ascii="Tahoma" w:hAnsi="Tahoma"/>
      <w:lang w:val="en-US" w:eastAsia="en-US"/>
    </w:rPr>
  </w:style>
  <w:style w:type="character" w:styleId="Accentuation">
    <w:name w:val="Emphasis"/>
    <w:basedOn w:val="Policepardfaut"/>
    <w:uiPriority w:val="99"/>
    <w:qFormat/>
    <w:rsid w:val="003F74BB"/>
    <w:rPr>
      <w:rFonts w:cs="Times New Roman"/>
      <w:i/>
      <w:iCs/>
    </w:rPr>
  </w:style>
  <w:style w:type="paragraph" w:styleId="Textedebulles">
    <w:name w:val="Balloon Text"/>
    <w:basedOn w:val="Normal"/>
    <w:link w:val="TextedebullesCar"/>
    <w:uiPriority w:val="99"/>
    <w:semiHidden/>
    <w:rsid w:val="003F74B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B047A"/>
    <w:rPr>
      <w:rFonts w:cs="Times New Roman"/>
      <w:sz w:val="2"/>
    </w:rPr>
  </w:style>
  <w:style w:type="paragraph" w:customStyle="1" w:styleId="CarCarCarCarCar">
    <w:name w:val="Car Car Car Car Car"/>
    <w:basedOn w:val="Normal"/>
    <w:uiPriority w:val="99"/>
    <w:rsid w:val="00D30EEC"/>
    <w:pPr>
      <w:widowControl w:val="0"/>
      <w:overflowPunct w:val="0"/>
      <w:autoSpaceDE w:val="0"/>
      <w:autoSpaceDN w:val="0"/>
      <w:adjustRightInd w:val="0"/>
      <w:spacing w:after="160" w:line="240" w:lineRule="exact"/>
      <w:jc w:val="left"/>
      <w:textAlignment w:val="baseline"/>
    </w:pPr>
    <w:rPr>
      <w:rFonts w:ascii="Tahoma" w:hAnsi="Tahoma"/>
      <w:lang w:val="en-US" w:eastAsia="en-US"/>
    </w:rPr>
  </w:style>
  <w:style w:type="paragraph" w:styleId="Notedebasdepage">
    <w:name w:val="footnote text"/>
    <w:basedOn w:val="Normal"/>
    <w:link w:val="NotedebasdepageCar"/>
    <w:semiHidden/>
    <w:rsid w:val="004C7EEE"/>
  </w:style>
  <w:style w:type="character" w:customStyle="1" w:styleId="NotedebasdepageCar">
    <w:name w:val="Note de bas de page Car"/>
    <w:basedOn w:val="Policepardfaut"/>
    <w:link w:val="Notedebasdepage"/>
    <w:uiPriority w:val="99"/>
    <w:semiHidden/>
    <w:locked/>
    <w:rsid w:val="00AB047A"/>
    <w:rPr>
      <w:rFonts w:ascii="Arial" w:hAnsi="Arial" w:cs="Times New Roman"/>
      <w:sz w:val="20"/>
      <w:szCs w:val="20"/>
    </w:rPr>
  </w:style>
  <w:style w:type="character" w:styleId="Appelnotedebasdep">
    <w:name w:val="footnote reference"/>
    <w:basedOn w:val="Policepardfaut"/>
    <w:semiHidden/>
    <w:rsid w:val="004C7EEE"/>
    <w:rPr>
      <w:rFonts w:cs="Times New Roman"/>
      <w:vertAlign w:val="superscript"/>
    </w:rPr>
  </w:style>
  <w:style w:type="character" w:styleId="lev">
    <w:name w:val="Strong"/>
    <w:basedOn w:val="Policepardfaut"/>
    <w:uiPriority w:val="99"/>
    <w:qFormat/>
    <w:rsid w:val="00690A8B"/>
    <w:rPr>
      <w:rFonts w:cs="Times New Roman"/>
      <w:b/>
      <w:bCs/>
    </w:rPr>
  </w:style>
  <w:style w:type="paragraph" w:customStyle="1" w:styleId="CarCar">
    <w:name w:val="Car Car"/>
    <w:basedOn w:val="Normal"/>
    <w:uiPriority w:val="99"/>
    <w:rsid w:val="00F779D7"/>
    <w:pPr>
      <w:widowControl w:val="0"/>
      <w:overflowPunct w:val="0"/>
      <w:autoSpaceDE w:val="0"/>
      <w:autoSpaceDN w:val="0"/>
      <w:adjustRightInd w:val="0"/>
      <w:spacing w:after="160" w:line="240" w:lineRule="exact"/>
      <w:jc w:val="left"/>
      <w:textAlignment w:val="baseline"/>
    </w:pPr>
    <w:rPr>
      <w:rFonts w:ascii="Tahoma" w:hAnsi="Tahoma"/>
      <w:lang w:val="en-US" w:eastAsia="en-US"/>
    </w:rPr>
  </w:style>
  <w:style w:type="character" w:styleId="Marquedecommentaire">
    <w:name w:val="annotation reference"/>
    <w:basedOn w:val="Policepardfaut"/>
    <w:uiPriority w:val="99"/>
    <w:semiHidden/>
    <w:rsid w:val="002A3199"/>
    <w:rPr>
      <w:rFonts w:cs="Times New Roman"/>
      <w:sz w:val="16"/>
      <w:szCs w:val="16"/>
    </w:rPr>
  </w:style>
  <w:style w:type="paragraph" w:styleId="Commentaire">
    <w:name w:val="annotation text"/>
    <w:basedOn w:val="Normal"/>
    <w:link w:val="CommentaireCar"/>
    <w:uiPriority w:val="99"/>
    <w:semiHidden/>
    <w:rsid w:val="002A3199"/>
  </w:style>
  <w:style w:type="character" w:customStyle="1" w:styleId="CommentaireCar">
    <w:name w:val="Commentaire Car"/>
    <w:basedOn w:val="Policepardfaut"/>
    <w:link w:val="Commentaire"/>
    <w:uiPriority w:val="99"/>
    <w:semiHidden/>
    <w:locked/>
    <w:rsid w:val="00AB047A"/>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2A3199"/>
    <w:rPr>
      <w:b/>
      <w:bCs/>
    </w:rPr>
  </w:style>
  <w:style w:type="character" w:customStyle="1" w:styleId="ObjetducommentaireCar">
    <w:name w:val="Objet du commentaire Car"/>
    <w:basedOn w:val="CommentaireCar"/>
    <w:link w:val="Objetducommentaire"/>
    <w:uiPriority w:val="99"/>
    <w:semiHidden/>
    <w:locked/>
    <w:rsid w:val="00AB047A"/>
    <w:rPr>
      <w:rFonts w:ascii="Arial" w:hAnsi="Arial" w:cs="Times New Roman"/>
      <w:b/>
      <w:bCs/>
      <w:sz w:val="20"/>
      <w:szCs w:val="20"/>
    </w:rPr>
  </w:style>
  <w:style w:type="paragraph" w:customStyle="1" w:styleId="CarCar2">
    <w:name w:val="Car Car2"/>
    <w:basedOn w:val="Normal"/>
    <w:uiPriority w:val="99"/>
    <w:rsid w:val="009A60CD"/>
    <w:pPr>
      <w:widowControl w:val="0"/>
      <w:overflowPunct w:val="0"/>
      <w:autoSpaceDE w:val="0"/>
      <w:autoSpaceDN w:val="0"/>
      <w:adjustRightInd w:val="0"/>
      <w:spacing w:after="160" w:line="240" w:lineRule="exact"/>
      <w:jc w:val="left"/>
      <w:textAlignment w:val="baseline"/>
    </w:pPr>
    <w:rPr>
      <w:rFonts w:ascii="Tahoma" w:hAnsi="Tahoma"/>
      <w:lang w:val="en-US" w:eastAsia="en-US"/>
    </w:rPr>
  </w:style>
  <w:style w:type="paragraph" w:customStyle="1" w:styleId="CarCar1">
    <w:name w:val="Car Car1"/>
    <w:basedOn w:val="Normal"/>
    <w:rsid w:val="002230DB"/>
    <w:pPr>
      <w:widowControl w:val="0"/>
      <w:overflowPunct w:val="0"/>
      <w:autoSpaceDE w:val="0"/>
      <w:autoSpaceDN w:val="0"/>
      <w:adjustRightInd w:val="0"/>
      <w:spacing w:after="160" w:line="240" w:lineRule="exact"/>
      <w:jc w:val="left"/>
      <w:textAlignment w:val="baseline"/>
    </w:pPr>
    <w:rPr>
      <w:rFonts w:ascii="Tahoma" w:hAnsi="Tahoma"/>
      <w:lang w:val="en-US" w:eastAsia="en-US"/>
    </w:rPr>
  </w:style>
  <w:style w:type="paragraph" w:styleId="Paragraphedeliste">
    <w:name w:val="List Paragraph"/>
    <w:basedOn w:val="Normal"/>
    <w:uiPriority w:val="34"/>
    <w:qFormat/>
    <w:rsid w:val="008824B6"/>
    <w:pPr>
      <w:ind w:left="720"/>
      <w:contextualSpacing/>
    </w:pPr>
  </w:style>
  <w:style w:type="character" w:styleId="Lienhypertexte">
    <w:name w:val="Hyperlink"/>
    <w:basedOn w:val="Policepardfaut"/>
    <w:uiPriority w:val="99"/>
    <w:unhideWhenUsed/>
    <w:rsid w:val="00E35B86"/>
    <w:rPr>
      <w:color w:val="0000FF" w:themeColor="hyperlink"/>
      <w:u w:val="single"/>
    </w:rPr>
  </w:style>
  <w:style w:type="paragraph" w:styleId="NormalWeb">
    <w:name w:val="Normal (Web)"/>
    <w:basedOn w:val="Normal"/>
    <w:uiPriority w:val="99"/>
    <w:semiHidden/>
    <w:unhideWhenUsed/>
    <w:rsid w:val="002A12D4"/>
    <w:pPr>
      <w:spacing w:before="100" w:beforeAutospacing="1" w:after="100" w:afterAutospacing="1"/>
      <w:jc w:val="left"/>
    </w:pPr>
    <w:rPr>
      <w:rFonts w:ascii="Times" w:eastAsia="Times" w:hAnsi="Times"/>
    </w:rPr>
  </w:style>
  <w:style w:type="paragraph" w:styleId="Sous-titre">
    <w:name w:val="Subtitle"/>
    <w:basedOn w:val="Titre"/>
    <w:next w:val="Normal"/>
    <w:link w:val="Sous-titreCar"/>
    <w:qFormat/>
    <w:locked/>
    <w:rsid w:val="005B1F91"/>
    <w:pPr>
      <w:ind w:right="-176"/>
    </w:pPr>
    <w:rPr>
      <w:sz w:val="24"/>
      <w:szCs w:val="24"/>
    </w:rPr>
  </w:style>
  <w:style w:type="character" w:customStyle="1" w:styleId="Sous-titreCar">
    <w:name w:val="Sous-titre Car"/>
    <w:basedOn w:val="Policepardfaut"/>
    <w:link w:val="Sous-titre"/>
    <w:rsid w:val="005B1F91"/>
    <w:rPr>
      <w:rFonts w:ascii="Arial" w:hAnsi="Arial" w:cs="Arial"/>
      <w:b/>
      <w:color w:val="514B64"/>
      <w:sz w:val="24"/>
      <w:szCs w:val="24"/>
    </w:rPr>
  </w:style>
  <w:style w:type="character" w:customStyle="1" w:styleId="Titre4Car">
    <w:name w:val="Titre 4 Car"/>
    <w:basedOn w:val="Policepardfaut"/>
    <w:link w:val="Titre4"/>
    <w:rsid w:val="0080288A"/>
    <w:rPr>
      <w:rFonts w:asciiTheme="majorHAnsi" w:eastAsiaTheme="majorEastAsia" w:hAnsiTheme="majorHAnsi" w:cstheme="majorBidi"/>
      <w:b/>
      <w:bCs/>
      <w:i/>
      <w:iCs/>
      <w:noProof/>
      <w:color w:val="4F81BD" w:themeColor="accent1"/>
      <w:sz w:val="20"/>
      <w:szCs w:val="20"/>
    </w:rPr>
  </w:style>
  <w:style w:type="character" w:styleId="Lienhypertextesuivivisit">
    <w:name w:val="FollowedHyperlink"/>
    <w:basedOn w:val="Policepardfaut"/>
    <w:uiPriority w:val="99"/>
    <w:semiHidden/>
    <w:unhideWhenUsed/>
    <w:rsid w:val="005D4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2726">
      <w:marLeft w:val="0"/>
      <w:marRight w:val="0"/>
      <w:marTop w:val="0"/>
      <w:marBottom w:val="0"/>
      <w:divBdr>
        <w:top w:val="none" w:sz="0" w:space="0" w:color="auto"/>
        <w:left w:val="none" w:sz="0" w:space="0" w:color="auto"/>
        <w:bottom w:val="none" w:sz="0" w:space="0" w:color="auto"/>
        <w:right w:val="none" w:sz="0" w:space="0" w:color="auto"/>
      </w:divBdr>
    </w:div>
    <w:div w:id="25252727">
      <w:marLeft w:val="0"/>
      <w:marRight w:val="0"/>
      <w:marTop w:val="0"/>
      <w:marBottom w:val="0"/>
      <w:divBdr>
        <w:top w:val="none" w:sz="0" w:space="0" w:color="auto"/>
        <w:left w:val="none" w:sz="0" w:space="0" w:color="auto"/>
        <w:bottom w:val="none" w:sz="0" w:space="0" w:color="auto"/>
        <w:right w:val="none" w:sz="0" w:space="0" w:color="auto"/>
      </w:divBdr>
      <w:divsChild>
        <w:div w:id="25252728">
          <w:marLeft w:val="0"/>
          <w:marRight w:val="0"/>
          <w:marTop w:val="0"/>
          <w:marBottom w:val="0"/>
          <w:divBdr>
            <w:top w:val="none" w:sz="0" w:space="0" w:color="auto"/>
            <w:left w:val="none" w:sz="0" w:space="0" w:color="auto"/>
            <w:bottom w:val="none" w:sz="0" w:space="0" w:color="auto"/>
            <w:right w:val="none" w:sz="0" w:space="0" w:color="auto"/>
          </w:divBdr>
        </w:div>
        <w:div w:id="25252749">
          <w:marLeft w:val="0"/>
          <w:marRight w:val="0"/>
          <w:marTop w:val="0"/>
          <w:marBottom w:val="0"/>
          <w:divBdr>
            <w:top w:val="none" w:sz="0" w:space="0" w:color="auto"/>
            <w:left w:val="none" w:sz="0" w:space="0" w:color="auto"/>
            <w:bottom w:val="none" w:sz="0" w:space="0" w:color="auto"/>
            <w:right w:val="none" w:sz="0" w:space="0" w:color="auto"/>
          </w:divBdr>
        </w:div>
      </w:divsChild>
    </w:div>
    <w:div w:id="25252729">
      <w:marLeft w:val="0"/>
      <w:marRight w:val="0"/>
      <w:marTop w:val="0"/>
      <w:marBottom w:val="0"/>
      <w:divBdr>
        <w:top w:val="none" w:sz="0" w:space="0" w:color="auto"/>
        <w:left w:val="none" w:sz="0" w:space="0" w:color="auto"/>
        <w:bottom w:val="none" w:sz="0" w:space="0" w:color="auto"/>
        <w:right w:val="none" w:sz="0" w:space="0" w:color="auto"/>
      </w:divBdr>
    </w:div>
    <w:div w:id="25252730">
      <w:marLeft w:val="0"/>
      <w:marRight w:val="0"/>
      <w:marTop w:val="0"/>
      <w:marBottom w:val="0"/>
      <w:divBdr>
        <w:top w:val="none" w:sz="0" w:space="0" w:color="auto"/>
        <w:left w:val="none" w:sz="0" w:space="0" w:color="auto"/>
        <w:bottom w:val="none" w:sz="0" w:space="0" w:color="auto"/>
        <w:right w:val="none" w:sz="0" w:space="0" w:color="auto"/>
      </w:divBdr>
    </w:div>
    <w:div w:id="25252731">
      <w:marLeft w:val="0"/>
      <w:marRight w:val="0"/>
      <w:marTop w:val="0"/>
      <w:marBottom w:val="0"/>
      <w:divBdr>
        <w:top w:val="none" w:sz="0" w:space="0" w:color="auto"/>
        <w:left w:val="none" w:sz="0" w:space="0" w:color="auto"/>
        <w:bottom w:val="none" w:sz="0" w:space="0" w:color="auto"/>
        <w:right w:val="none" w:sz="0" w:space="0" w:color="auto"/>
      </w:divBdr>
    </w:div>
    <w:div w:id="25252732">
      <w:marLeft w:val="0"/>
      <w:marRight w:val="0"/>
      <w:marTop w:val="0"/>
      <w:marBottom w:val="0"/>
      <w:divBdr>
        <w:top w:val="none" w:sz="0" w:space="0" w:color="auto"/>
        <w:left w:val="none" w:sz="0" w:space="0" w:color="auto"/>
        <w:bottom w:val="none" w:sz="0" w:space="0" w:color="auto"/>
        <w:right w:val="none" w:sz="0" w:space="0" w:color="auto"/>
      </w:divBdr>
    </w:div>
    <w:div w:id="25252733">
      <w:marLeft w:val="0"/>
      <w:marRight w:val="0"/>
      <w:marTop w:val="0"/>
      <w:marBottom w:val="0"/>
      <w:divBdr>
        <w:top w:val="none" w:sz="0" w:space="0" w:color="auto"/>
        <w:left w:val="none" w:sz="0" w:space="0" w:color="auto"/>
        <w:bottom w:val="none" w:sz="0" w:space="0" w:color="auto"/>
        <w:right w:val="none" w:sz="0" w:space="0" w:color="auto"/>
      </w:divBdr>
    </w:div>
    <w:div w:id="25252734">
      <w:marLeft w:val="30"/>
      <w:marRight w:val="75"/>
      <w:marTop w:val="30"/>
      <w:marBottom w:val="75"/>
      <w:divBdr>
        <w:top w:val="none" w:sz="0" w:space="0" w:color="auto"/>
        <w:left w:val="none" w:sz="0" w:space="0" w:color="auto"/>
        <w:bottom w:val="none" w:sz="0" w:space="0" w:color="auto"/>
        <w:right w:val="none" w:sz="0" w:space="0" w:color="auto"/>
      </w:divBdr>
    </w:div>
    <w:div w:id="25252735">
      <w:marLeft w:val="0"/>
      <w:marRight w:val="0"/>
      <w:marTop w:val="0"/>
      <w:marBottom w:val="0"/>
      <w:divBdr>
        <w:top w:val="none" w:sz="0" w:space="0" w:color="auto"/>
        <w:left w:val="none" w:sz="0" w:space="0" w:color="auto"/>
        <w:bottom w:val="none" w:sz="0" w:space="0" w:color="auto"/>
        <w:right w:val="none" w:sz="0" w:space="0" w:color="auto"/>
      </w:divBdr>
    </w:div>
    <w:div w:id="25252736">
      <w:marLeft w:val="0"/>
      <w:marRight w:val="0"/>
      <w:marTop w:val="0"/>
      <w:marBottom w:val="0"/>
      <w:divBdr>
        <w:top w:val="none" w:sz="0" w:space="0" w:color="auto"/>
        <w:left w:val="none" w:sz="0" w:space="0" w:color="auto"/>
        <w:bottom w:val="none" w:sz="0" w:space="0" w:color="auto"/>
        <w:right w:val="none" w:sz="0" w:space="0" w:color="auto"/>
      </w:divBdr>
    </w:div>
    <w:div w:id="25252737">
      <w:marLeft w:val="0"/>
      <w:marRight w:val="0"/>
      <w:marTop w:val="0"/>
      <w:marBottom w:val="0"/>
      <w:divBdr>
        <w:top w:val="none" w:sz="0" w:space="0" w:color="auto"/>
        <w:left w:val="none" w:sz="0" w:space="0" w:color="auto"/>
        <w:bottom w:val="none" w:sz="0" w:space="0" w:color="auto"/>
        <w:right w:val="none" w:sz="0" w:space="0" w:color="auto"/>
      </w:divBdr>
    </w:div>
    <w:div w:id="25252738">
      <w:marLeft w:val="0"/>
      <w:marRight w:val="0"/>
      <w:marTop w:val="0"/>
      <w:marBottom w:val="0"/>
      <w:divBdr>
        <w:top w:val="none" w:sz="0" w:space="0" w:color="auto"/>
        <w:left w:val="none" w:sz="0" w:space="0" w:color="auto"/>
        <w:bottom w:val="none" w:sz="0" w:space="0" w:color="auto"/>
        <w:right w:val="none" w:sz="0" w:space="0" w:color="auto"/>
      </w:divBdr>
    </w:div>
    <w:div w:id="25252739">
      <w:marLeft w:val="0"/>
      <w:marRight w:val="0"/>
      <w:marTop w:val="0"/>
      <w:marBottom w:val="0"/>
      <w:divBdr>
        <w:top w:val="none" w:sz="0" w:space="0" w:color="auto"/>
        <w:left w:val="none" w:sz="0" w:space="0" w:color="auto"/>
        <w:bottom w:val="none" w:sz="0" w:space="0" w:color="auto"/>
        <w:right w:val="none" w:sz="0" w:space="0" w:color="auto"/>
      </w:divBdr>
    </w:div>
    <w:div w:id="25252740">
      <w:marLeft w:val="0"/>
      <w:marRight w:val="0"/>
      <w:marTop w:val="0"/>
      <w:marBottom w:val="0"/>
      <w:divBdr>
        <w:top w:val="none" w:sz="0" w:space="0" w:color="auto"/>
        <w:left w:val="none" w:sz="0" w:space="0" w:color="auto"/>
        <w:bottom w:val="none" w:sz="0" w:space="0" w:color="auto"/>
        <w:right w:val="none" w:sz="0" w:space="0" w:color="auto"/>
      </w:divBdr>
    </w:div>
    <w:div w:id="25252741">
      <w:marLeft w:val="0"/>
      <w:marRight w:val="0"/>
      <w:marTop w:val="0"/>
      <w:marBottom w:val="0"/>
      <w:divBdr>
        <w:top w:val="none" w:sz="0" w:space="0" w:color="auto"/>
        <w:left w:val="none" w:sz="0" w:space="0" w:color="auto"/>
        <w:bottom w:val="none" w:sz="0" w:space="0" w:color="auto"/>
        <w:right w:val="none" w:sz="0" w:space="0" w:color="auto"/>
      </w:divBdr>
    </w:div>
    <w:div w:id="25252743">
      <w:marLeft w:val="0"/>
      <w:marRight w:val="0"/>
      <w:marTop w:val="0"/>
      <w:marBottom w:val="0"/>
      <w:divBdr>
        <w:top w:val="none" w:sz="0" w:space="0" w:color="auto"/>
        <w:left w:val="none" w:sz="0" w:space="0" w:color="auto"/>
        <w:bottom w:val="none" w:sz="0" w:space="0" w:color="auto"/>
        <w:right w:val="none" w:sz="0" w:space="0" w:color="auto"/>
      </w:divBdr>
    </w:div>
    <w:div w:id="25252744">
      <w:marLeft w:val="0"/>
      <w:marRight w:val="0"/>
      <w:marTop w:val="0"/>
      <w:marBottom w:val="0"/>
      <w:divBdr>
        <w:top w:val="none" w:sz="0" w:space="0" w:color="auto"/>
        <w:left w:val="none" w:sz="0" w:space="0" w:color="auto"/>
        <w:bottom w:val="none" w:sz="0" w:space="0" w:color="auto"/>
        <w:right w:val="none" w:sz="0" w:space="0" w:color="auto"/>
      </w:divBdr>
    </w:div>
    <w:div w:id="25252745">
      <w:marLeft w:val="0"/>
      <w:marRight w:val="0"/>
      <w:marTop w:val="0"/>
      <w:marBottom w:val="0"/>
      <w:divBdr>
        <w:top w:val="none" w:sz="0" w:space="0" w:color="auto"/>
        <w:left w:val="none" w:sz="0" w:space="0" w:color="auto"/>
        <w:bottom w:val="none" w:sz="0" w:space="0" w:color="auto"/>
        <w:right w:val="none" w:sz="0" w:space="0" w:color="auto"/>
      </w:divBdr>
    </w:div>
    <w:div w:id="25252746">
      <w:marLeft w:val="0"/>
      <w:marRight w:val="0"/>
      <w:marTop w:val="0"/>
      <w:marBottom w:val="0"/>
      <w:divBdr>
        <w:top w:val="none" w:sz="0" w:space="0" w:color="auto"/>
        <w:left w:val="none" w:sz="0" w:space="0" w:color="auto"/>
        <w:bottom w:val="none" w:sz="0" w:space="0" w:color="auto"/>
        <w:right w:val="none" w:sz="0" w:space="0" w:color="auto"/>
      </w:divBdr>
    </w:div>
    <w:div w:id="25252747">
      <w:marLeft w:val="0"/>
      <w:marRight w:val="0"/>
      <w:marTop w:val="0"/>
      <w:marBottom w:val="0"/>
      <w:divBdr>
        <w:top w:val="none" w:sz="0" w:space="0" w:color="auto"/>
        <w:left w:val="none" w:sz="0" w:space="0" w:color="auto"/>
        <w:bottom w:val="none" w:sz="0" w:space="0" w:color="auto"/>
        <w:right w:val="none" w:sz="0" w:space="0" w:color="auto"/>
      </w:divBdr>
    </w:div>
    <w:div w:id="25252748">
      <w:marLeft w:val="0"/>
      <w:marRight w:val="0"/>
      <w:marTop w:val="0"/>
      <w:marBottom w:val="0"/>
      <w:divBdr>
        <w:top w:val="none" w:sz="0" w:space="0" w:color="auto"/>
        <w:left w:val="none" w:sz="0" w:space="0" w:color="auto"/>
        <w:bottom w:val="none" w:sz="0" w:space="0" w:color="auto"/>
        <w:right w:val="none" w:sz="0" w:space="0" w:color="auto"/>
      </w:divBdr>
    </w:div>
    <w:div w:id="25252750">
      <w:marLeft w:val="0"/>
      <w:marRight w:val="0"/>
      <w:marTop w:val="0"/>
      <w:marBottom w:val="0"/>
      <w:divBdr>
        <w:top w:val="none" w:sz="0" w:space="0" w:color="auto"/>
        <w:left w:val="none" w:sz="0" w:space="0" w:color="auto"/>
        <w:bottom w:val="none" w:sz="0" w:space="0" w:color="auto"/>
        <w:right w:val="none" w:sz="0" w:space="0" w:color="auto"/>
      </w:divBdr>
    </w:div>
    <w:div w:id="25252751">
      <w:marLeft w:val="0"/>
      <w:marRight w:val="0"/>
      <w:marTop w:val="0"/>
      <w:marBottom w:val="0"/>
      <w:divBdr>
        <w:top w:val="none" w:sz="0" w:space="0" w:color="auto"/>
        <w:left w:val="none" w:sz="0" w:space="0" w:color="auto"/>
        <w:bottom w:val="none" w:sz="0" w:space="0" w:color="auto"/>
        <w:right w:val="none" w:sz="0" w:space="0" w:color="auto"/>
      </w:divBdr>
    </w:div>
    <w:div w:id="25252752">
      <w:marLeft w:val="0"/>
      <w:marRight w:val="0"/>
      <w:marTop w:val="0"/>
      <w:marBottom w:val="0"/>
      <w:divBdr>
        <w:top w:val="none" w:sz="0" w:space="0" w:color="auto"/>
        <w:left w:val="none" w:sz="0" w:space="0" w:color="auto"/>
        <w:bottom w:val="none" w:sz="0" w:space="0" w:color="auto"/>
        <w:right w:val="none" w:sz="0" w:space="0" w:color="auto"/>
      </w:divBdr>
    </w:div>
    <w:div w:id="25252753">
      <w:marLeft w:val="0"/>
      <w:marRight w:val="0"/>
      <w:marTop w:val="0"/>
      <w:marBottom w:val="0"/>
      <w:divBdr>
        <w:top w:val="none" w:sz="0" w:space="0" w:color="auto"/>
        <w:left w:val="none" w:sz="0" w:space="0" w:color="auto"/>
        <w:bottom w:val="none" w:sz="0" w:space="0" w:color="auto"/>
        <w:right w:val="none" w:sz="0" w:space="0" w:color="auto"/>
      </w:divBdr>
    </w:div>
    <w:div w:id="25252754">
      <w:marLeft w:val="0"/>
      <w:marRight w:val="0"/>
      <w:marTop w:val="0"/>
      <w:marBottom w:val="0"/>
      <w:divBdr>
        <w:top w:val="none" w:sz="0" w:space="0" w:color="auto"/>
        <w:left w:val="none" w:sz="0" w:space="0" w:color="auto"/>
        <w:bottom w:val="none" w:sz="0" w:space="0" w:color="auto"/>
        <w:right w:val="none" w:sz="0" w:space="0" w:color="auto"/>
      </w:divBdr>
    </w:div>
    <w:div w:id="25252755">
      <w:marLeft w:val="0"/>
      <w:marRight w:val="0"/>
      <w:marTop w:val="0"/>
      <w:marBottom w:val="0"/>
      <w:divBdr>
        <w:top w:val="none" w:sz="0" w:space="0" w:color="auto"/>
        <w:left w:val="none" w:sz="0" w:space="0" w:color="auto"/>
        <w:bottom w:val="none" w:sz="0" w:space="0" w:color="auto"/>
        <w:right w:val="none" w:sz="0" w:space="0" w:color="auto"/>
      </w:divBdr>
      <w:divsChild>
        <w:div w:id="25252742">
          <w:marLeft w:val="0"/>
          <w:marRight w:val="0"/>
          <w:marTop w:val="0"/>
          <w:marBottom w:val="0"/>
          <w:divBdr>
            <w:top w:val="none" w:sz="0" w:space="0" w:color="auto"/>
            <w:left w:val="none" w:sz="0" w:space="0" w:color="auto"/>
            <w:bottom w:val="none" w:sz="0" w:space="0" w:color="auto"/>
            <w:right w:val="none" w:sz="0" w:space="0" w:color="auto"/>
          </w:divBdr>
        </w:div>
        <w:div w:id="25252760">
          <w:marLeft w:val="0"/>
          <w:marRight w:val="0"/>
          <w:marTop w:val="0"/>
          <w:marBottom w:val="0"/>
          <w:divBdr>
            <w:top w:val="none" w:sz="0" w:space="0" w:color="auto"/>
            <w:left w:val="none" w:sz="0" w:space="0" w:color="auto"/>
            <w:bottom w:val="none" w:sz="0" w:space="0" w:color="auto"/>
            <w:right w:val="none" w:sz="0" w:space="0" w:color="auto"/>
          </w:divBdr>
        </w:div>
        <w:div w:id="25252761">
          <w:marLeft w:val="0"/>
          <w:marRight w:val="0"/>
          <w:marTop w:val="0"/>
          <w:marBottom w:val="0"/>
          <w:divBdr>
            <w:top w:val="none" w:sz="0" w:space="0" w:color="auto"/>
            <w:left w:val="none" w:sz="0" w:space="0" w:color="auto"/>
            <w:bottom w:val="none" w:sz="0" w:space="0" w:color="auto"/>
            <w:right w:val="none" w:sz="0" w:space="0" w:color="auto"/>
          </w:divBdr>
        </w:div>
      </w:divsChild>
    </w:div>
    <w:div w:id="25252756">
      <w:marLeft w:val="0"/>
      <w:marRight w:val="0"/>
      <w:marTop w:val="0"/>
      <w:marBottom w:val="0"/>
      <w:divBdr>
        <w:top w:val="none" w:sz="0" w:space="0" w:color="auto"/>
        <w:left w:val="none" w:sz="0" w:space="0" w:color="auto"/>
        <w:bottom w:val="none" w:sz="0" w:space="0" w:color="auto"/>
        <w:right w:val="none" w:sz="0" w:space="0" w:color="auto"/>
      </w:divBdr>
    </w:div>
    <w:div w:id="25252757">
      <w:marLeft w:val="0"/>
      <w:marRight w:val="0"/>
      <w:marTop w:val="0"/>
      <w:marBottom w:val="0"/>
      <w:divBdr>
        <w:top w:val="none" w:sz="0" w:space="0" w:color="auto"/>
        <w:left w:val="none" w:sz="0" w:space="0" w:color="auto"/>
        <w:bottom w:val="none" w:sz="0" w:space="0" w:color="auto"/>
        <w:right w:val="none" w:sz="0" w:space="0" w:color="auto"/>
      </w:divBdr>
    </w:div>
    <w:div w:id="25252758">
      <w:marLeft w:val="0"/>
      <w:marRight w:val="0"/>
      <w:marTop w:val="0"/>
      <w:marBottom w:val="0"/>
      <w:divBdr>
        <w:top w:val="none" w:sz="0" w:space="0" w:color="auto"/>
        <w:left w:val="none" w:sz="0" w:space="0" w:color="auto"/>
        <w:bottom w:val="none" w:sz="0" w:space="0" w:color="auto"/>
        <w:right w:val="none" w:sz="0" w:space="0" w:color="auto"/>
      </w:divBdr>
    </w:div>
    <w:div w:id="25252759">
      <w:marLeft w:val="0"/>
      <w:marRight w:val="0"/>
      <w:marTop w:val="0"/>
      <w:marBottom w:val="0"/>
      <w:divBdr>
        <w:top w:val="none" w:sz="0" w:space="0" w:color="auto"/>
        <w:left w:val="none" w:sz="0" w:space="0" w:color="auto"/>
        <w:bottom w:val="none" w:sz="0" w:space="0" w:color="auto"/>
        <w:right w:val="none" w:sz="0" w:space="0" w:color="auto"/>
      </w:divBdr>
      <w:divsChild>
        <w:div w:id="25252724">
          <w:marLeft w:val="0"/>
          <w:marRight w:val="0"/>
          <w:marTop w:val="0"/>
          <w:marBottom w:val="0"/>
          <w:divBdr>
            <w:top w:val="none" w:sz="0" w:space="0" w:color="auto"/>
            <w:left w:val="none" w:sz="0" w:space="0" w:color="auto"/>
            <w:bottom w:val="none" w:sz="0" w:space="0" w:color="auto"/>
            <w:right w:val="none" w:sz="0" w:space="0" w:color="auto"/>
          </w:divBdr>
        </w:div>
        <w:div w:id="25252725">
          <w:marLeft w:val="0"/>
          <w:marRight w:val="0"/>
          <w:marTop w:val="0"/>
          <w:marBottom w:val="0"/>
          <w:divBdr>
            <w:top w:val="none" w:sz="0" w:space="0" w:color="auto"/>
            <w:left w:val="none" w:sz="0" w:space="0" w:color="auto"/>
            <w:bottom w:val="none" w:sz="0" w:space="0" w:color="auto"/>
            <w:right w:val="none" w:sz="0" w:space="0" w:color="auto"/>
          </w:divBdr>
        </w:div>
      </w:divsChild>
    </w:div>
    <w:div w:id="25252762">
      <w:marLeft w:val="0"/>
      <w:marRight w:val="0"/>
      <w:marTop w:val="0"/>
      <w:marBottom w:val="0"/>
      <w:divBdr>
        <w:top w:val="none" w:sz="0" w:space="0" w:color="auto"/>
        <w:left w:val="none" w:sz="0" w:space="0" w:color="auto"/>
        <w:bottom w:val="none" w:sz="0" w:space="0" w:color="auto"/>
        <w:right w:val="none" w:sz="0" w:space="0" w:color="auto"/>
      </w:divBdr>
    </w:div>
    <w:div w:id="59865981">
      <w:bodyDiv w:val="1"/>
      <w:marLeft w:val="0"/>
      <w:marRight w:val="0"/>
      <w:marTop w:val="0"/>
      <w:marBottom w:val="0"/>
      <w:divBdr>
        <w:top w:val="none" w:sz="0" w:space="0" w:color="auto"/>
        <w:left w:val="none" w:sz="0" w:space="0" w:color="auto"/>
        <w:bottom w:val="none" w:sz="0" w:space="0" w:color="auto"/>
        <w:right w:val="none" w:sz="0" w:space="0" w:color="auto"/>
      </w:divBdr>
    </w:div>
    <w:div w:id="60062045">
      <w:bodyDiv w:val="1"/>
      <w:marLeft w:val="0"/>
      <w:marRight w:val="0"/>
      <w:marTop w:val="0"/>
      <w:marBottom w:val="0"/>
      <w:divBdr>
        <w:top w:val="none" w:sz="0" w:space="0" w:color="auto"/>
        <w:left w:val="none" w:sz="0" w:space="0" w:color="auto"/>
        <w:bottom w:val="none" w:sz="0" w:space="0" w:color="auto"/>
        <w:right w:val="none" w:sz="0" w:space="0" w:color="auto"/>
      </w:divBdr>
    </w:div>
    <w:div w:id="159469019">
      <w:bodyDiv w:val="1"/>
      <w:marLeft w:val="0"/>
      <w:marRight w:val="0"/>
      <w:marTop w:val="0"/>
      <w:marBottom w:val="0"/>
      <w:divBdr>
        <w:top w:val="none" w:sz="0" w:space="0" w:color="auto"/>
        <w:left w:val="none" w:sz="0" w:space="0" w:color="auto"/>
        <w:bottom w:val="none" w:sz="0" w:space="0" w:color="auto"/>
        <w:right w:val="none" w:sz="0" w:space="0" w:color="auto"/>
      </w:divBdr>
    </w:div>
    <w:div w:id="266470227">
      <w:bodyDiv w:val="1"/>
      <w:marLeft w:val="0"/>
      <w:marRight w:val="0"/>
      <w:marTop w:val="0"/>
      <w:marBottom w:val="0"/>
      <w:divBdr>
        <w:top w:val="none" w:sz="0" w:space="0" w:color="auto"/>
        <w:left w:val="none" w:sz="0" w:space="0" w:color="auto"/>
        <w:bottom w:val="none" w:sz="0" w:space="0" w:color="auto"/>
        <w:right w:val="none" w:sz="0" w:space="0" w:color="auto"/>
      </w:divBdr>
    </w:div>
    <w:div w:id="326707706">
      <w:bodyDiv w:val="1"/>
      <w:marLeft w:val="0"/>
      <w:marRight w:val="0"/>
      <w:marTop w:val="0"/>
      <w:marBottom w:val="0"/>
      <w:divBdr>
        <w:top w:val="none" w:sz="0" w:space="0" w:color="auto"/>
        <w:left w:val="none" w:sz="0" w:space="0" w:color="auto"/>
        <w:bottom w:val="none" w:sz="0" w:space="0" w:color="auto"/>
        <w:right w:val="none" w:sz="0" w:space="0" w:color="auto"/>
      </w:divBdr>
    </w:div>
    <w:div w:id="343292330">
      <w:bodyDiv w:val="1"/>
      <w:marLeft w:val="0"/>
      <w:marRight w:val="0"/>
      <w:marTop w:val="0"/>
      <w:marBottom w:val="0"/>
      <w:divBdr>
        <w:top w:val="none" w:sz="0" w:space="0" w:color="auto"/>
        <w:left w:val="none" w:sz="0" w:space="0" w:color="auto"/>
        <w:bottom w:val="none" w:sz="0" w:space="0" w:color="auto"/>
        <w:right w:val="none" w:sz="0" w:space="0" w:color="auto"/>
      </w:divBdr>
    </w:div>
    <w:div w:id="360522407">
      <w:bodyDiv w:val="1"/>
      <w:marLeft w:val="0"/>
      <w:marRight w:val="0"/>
      <w:marTop w:val="0"/>
      <w:marBottom w:val="0"/>
      <w:divBdr>
        <w:top w:val="none" w:sz="0" w:space="0" w:color="auto"/>
        <w:left w:val="none" w:sz="0" w:space="0" w:color="auto"/>
        <w:bottom w:val="none" w:sz="0" w:space="0" w:color="auto"/>
        <w:right w:val="none" w:sz="0" w:space="0" w:color="auto"/>
      </w:divBdr>
    </w:div>
    <w:div w:id="391930732">
      <w:bodyDiv w:val="1"/>
      <w:marLeft w:val="30"/>
      <w:marRight w:val="75"/>
      <w:marTop w:val="30"/>
      <w:marBottom w:val="75"/>
      <w:divBdr>
        <w:top w:val="none" w:sz="0" w:space="0" w:color="auto"/>
        <w:left w:val="none" w:sz="0" w:space="0" w:color="auto"/>
        <w:bottom w:val="none" w:sz="0" w:space="0" w:color="auto"/>
        <w:right w:val="none" w:sz="0" w:space="0" w:color="auto"/>
      </w:divBdr>
    </w:div>
    <w:div w:id="414085174">
      <w:bodyDiv w:val="1"/>
      <w:marLeft w:val="0"/>
      <w:marRight w:val="0"/>
      <w:marTop w:val="0"/>
      <w:marBottom w:val="0"/>
      <w:divBdr>
        <w:top w:val="none" w:sz="0" w:space="0" w:color="auto"/>
        <w:left w:val="none" w:sz="0" w:space="0" w:color="auto"/>
        <w:bottom w:val="none" w:sz="0" w:space="0" w:color="auto"/>
        <w:right w:val="none" w:sz="0" w:space="0" w:color="auto"/>
      </w:divBdr>
    </w:div>
    <w:div w:id="620302315">
      <w:bodyDiv w:val="1"/>
      <w:marLeft w:val="0"/>
      <w:marRight w:val="0"/>
      <w:marTop w:val="0"/>
      <w:marBottom w:val="0"/>
      <w:divBdr>
        <w:top w:val="none" w:sz="0" w:space="0" w:color="auto"/>
        <w:left w:val="none" w:sz="0" w:space="0" w:color="auto"/>
        <w:bottom w:val="none" w:sz="0" w:space="0" w:color="auto"/>
        <w:right w:val="none" w:sz="0" w:space="0" w:color="auto"/>
      </w:divBdr>
    </w:div>
    <w:div w:id="756248029">
      <w:bodyDiv w:val="1"/>
      <w:marLeft w:val="0"/>
      <w:marRight w:val="0"/>
      <w:marTop w:val="0"/>
      <w:marBottom w:val="0"/>
      <w:divBdr>
        <w:top w:val="none" w:sz="0" w:space="0" w:color="auto"/>
        <w:left w:val="none" w:sz="0" w:space="0" w:color="auto"/>
        <w:bottom w:val="none" w:sz="0" w:space="0" w:color="auto"/>
        <w:right w:val="none" w:sz="0" w:space="0" w:color="auto"/>
      </w:divBdr>
    </w:div>
    <w:div w:id="782768531">
      <w:bodyDiv w:val="1"/>
      <w:marLeft w:val="0"/>
      <w:marRight w:val="0"/>
      <w:marTop w:val="0"/>
      <w:marBottom w:val="0"/>
      <w:divBdr>
        <w:top w:val="none" w:sz="0" w:space="0" w:color="auto"/>
        <w:left w:val="none" w:sz="0" w:space="0" w:color="auto"/>
        <w:bottom w:val="none" w:sz="0" w:space="0" w:color="auto"/>
        <w:right w:val="none" w:sz="0" w:space="0" w:color="auto"/>
      </w:divBdr>
    </w:div>
    <w:div w:id="1055205918">
      <w:bodyDiv w:val="1"/>
      <w:marLeft w:val="0"/>
      <w:marRight w:val="0"/>
      <w:marTop w:val="0"/>
      <w:marBottom w:val="0"/>
      <w:divBdr>
        <w:top w:val="none" w:sz="0" w:space="0" w:color="auto"/>
        <w:left w:val="none" w:sz="0" w:space="0" w:color="auto"/>
        <w:bottom w:val="none" w:sz="0" w:space="0" w:color="auto"/>
        <w:right w:val="none" w:sz="0" w:space="0" w:color="auto"/>
      </w:divBdr>
    </w:div>
    <w:div w:id="1200321402">
      <w:bodyDiv w:val="1"/>
      <w:marLeft w:val="0"/>
      <w:marRight w:val="0"/>
      <w:marTop w:val="0"/>
      <w:marBottom w:val="0"/>
      <w:divBdr>
        <w:top w:val="none" w:sz="0" w:space="0" w:color="auto"/>
        <w:left w:val="none" w:sz="0" w:space="0" w:color="auto"/>
        <w:bottom w:val="none" w:sz="0" w:space="0" w:color="auto"/>
        <w:right w:val="none" w:sz="0" w:space="0" w:color="auto"/>
      </w:divBdr>
    </w:div>
    <w:div w:id="1346590138">
      <w:bodyDiv w:val="1"/>
      <w:marLeft w:val="0"/>
      <w:marRight w:val="0"/>
      <w:marTop w:val="0"/>
      <w:marBottom w:val="0"/>
      <w:divBdr>
        <w:top w:val="none" w:sz="0" w:space="0" w:color="auto"/>
        <w:left w:val="none" w:sz="0" w:space="0" w:color="auto"/>
        <w:bottom w:val="none" w:sz="0" w:space="0" w:color="auto"/>
        <w:right w:val="none" w:sz="0" w:space="0" w:color="auto"/>
      </w:divBdr>
    </w:div>
    <w:div w:id="1350714580">
      <w:bodyDiv w:val="1"/>
      <w:marLeft w:val="0"/>
      <w:marRight w:val="0"/>
      <w:marTop w:val="0"/>
      <w:marBottom w:val="0"/>
      <w:divBdr>
        <w:top w:val="none" w:sz="0" w:space="0" w:color="auto"/>
        <w:left w:val="none" w:sz="0" w:space="0" w:color="auto"/>
        <w:bottom w:val="none" w:sz="0" w:space="0" w:color="auto"/>
        <w:right w:val="none" w:sz="0" w:space="0" w:color="auto"/>
      </w:divBdr>
    </w:div>
    <w:div w:id="2035037490">
      <w:bodyDiv w:val="1"/>
      <w:marLeft w:val="0"/>
      <w:marRight w:val="0"/>
      <w:marTop w:val="0"/>
      <w:marBottom w:val="0"/>
      <w:divBdr>
        <w:top w:val="none" w:sz="0" w:space="0" w:color="auto"/>
        <w:left w:val="none" w:sz="0" w:space="0" w:color="auto"/>
        <w:bottom w:val="none" w:sz="0" w:space="0" w:color="auto"/>
        <w:right w:val="none" w:sz="0" w:space="0" w:color="auto"/>
      </w:divBdr>
    </w:div>
    <w:div w:id="2119180572">
      <w:bodyDiv w:val="1"/>
      <w:marLeft w:val="0"/>
      <w:marRight w:val="0"/>
      <w:marTop w:val="0"/>
      <w:marBottom w:val="0"/>
      <w:divBdr>
        <w:top w:val="none" w:sz="0" w:space="0" w:color="auto"/>
        <w:left w:val="none" w:sz="0" w:space="0" w:color="auto"/>
        <w:bottom w:val="none" w:sz="0" w:space="0" w:color="auto"/>
        <w:right w:val="none" w:sz="0" w:space="0" w:color="auto"/>
      </w:divBdr>
    </w:div>
    <w:div w:id="21291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ih.sante.fr/regroupements-des-ghm-en-v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cansante.fr/application/flux-entre-etablissements-orfe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F238-D72A-454F-8F9F-E39FC795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1145</Words>
  <Characters>6300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Notice</vt:lpstr>
    </vt:vector>
  </TitlesOfParts>
  <Company>ATIH</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aline.cusson@atih.sante.fr</dc:creator>
  <cp:lastModifiedBy>Max BENSADON</cp:lastModifiedBy>
  <cp:revision>3</cp:revision>
  <cp:lastPrinted>2017-08-30T14:07:00Z</cp:lastPrinted>
  <dcterms:created xsi:type="dcterms:W3CDTF">2018-02-09T18:11:00Z</dcterms:created>
  <dcterms:modified xsi:type="dcterms:W3CDTF">2018-02-09T18:14:00Z</dcterms:modified>
</cp:coreProperties>
</file>